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0AB2" w14:textId="590934ED" w:rsidR="008C2314" w:rsidRPr="00492079" w:rsidRDefault="00C15084" w:rsidP="00492079">
      <w:pPr>
        <w:spacing w:before="120" w:after="120"/>
        <w:rPr>
          <w:rFonts w:ascii="Arial" w:hAnsi="Arial" w:cs="Arial"/>
        </w:rPr>
      </w:pPr>
      <w:r>
        <w:rPr>
          <w:rFonts w:ascii="Arial" w:hAnsi="Arial" w:cs="Arial"/>
          <w:noProof/>
        </w:rPr>
        <w:drawing>
          <wp:anchor distT="0" distB="0" distL="114300" distR="114300" simplePos="0" relativeHeight="251656704" behindDoc="1" locked="0" layoutInCell="1" allowOverlap="1" wp14:anchorId="52A49272" wp14:editId="0F31D5BA">
            <wp:simplePos x="0" y="0"/>
            <wp:positionH relativeFrom="column">
              <wp:posOffset>4739005</wp:posOffset>
            </wp:positionH>
            <wp:positionV relativeFrom="paragraph">
              <wp:posOffset>-73660</wp:posOffset>
            </wp:positionV>
            <wp:extent cx="1651635" cy="714375"/>
            <wp:effectExtent l="0" t="0" r="5715" b="9525"/>
            <wp:wrapTight wrapText="bothSides">
              <wp:wrapPolygon edited="0">
                <wp:start x="0" y="0"/>
                <wp:lineTo x="0" y="21312"/>
                <wp:lineTo x="21426" y="21312"/>
                <wp:lineTo x="214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651635" cy="714375"/>
                    </a:xfrm>
                    <a:prstGeom prst="rect">
                      <a:avLst/>
                    </a:prstGeom>
                  </pic:spPr>
                </pic:pic>
              </a:graphicData>
            </a:graphic>
            <wp14:sizeRelH relativeFrom="page">
              <wp14:pctWidth>0</wp14:pctWidth>
            </wp14:sizeRelH>
            <wp14:sizeRelV relativeFrom="page">
              <wp14:pctHeight>0</wp14:pctHeight>
            </wp14:sizeRelV>
          </wp:anchor>
        </w:drawing>
      </w:r>
      <w:r w:rsidR="0070359A" w:rsidRPr="00492079">
        <w:rPr>
          <w:rFonts w:ascii="Arial" w:hAnsi="Arial" w:cs="Arial"/>
        </w:rPr>
        <w:t xml:space="preserve">          </w:t>
      </w:r>
    </w:p>
    <w:p w14:paraId="4F0D2428" w14:textId="77777777" w:rsidR="008C2314" w:rsidRPr="00492079" w:rsidRDefault="008C2314" w:rsidP="00492079">
      <w:pPr>
        <w:spacing w:before="120" w:after="120" w:line="240" w:lineRule="auto"/>
        <w:rPr>
          <w:rFonts w:ascii="Arial" w:hAnsi="Arial" w:cs="Arial"/>
          <w:b/>
          <w:noProof/>
          <w:color w:val="0071C6"/>
          <w:spacing w:val="-3"/>
          <w:w w:val="94"/>
          <w:sz w:val="24"/>
          <w:szCs w:val="24"/>
        </w:rPr>
      </w:pPr>
    </w:p>
    <w:p w14:paraId="226FB036" w14:textId="77777777" w:rsidR="00516EC4" w:rsidRDefault="00516EC4" w:rsidP="00516EC4">
      <w:pPr>
        <w:spacing w:before="120" w:after="120" w:line="240" w:lineRule="auto"/>
        <w:jc w:val="center"/>
        <w:rPr>
          <w:rFonts w:ascii="Arial" w:hAnsi="Arial" w:cs="Arial"/>
          <w:b/>
          <w:noProof/>
          <w:color w:val="0071C6"/>
          <w:sz w:val="28"/>
          <w:szCs w:val="28"/>
        </w:rPr>
      </w:pPr>
    </w:p>
    <w:p w14:paraId="4630F609" w14:textId="619168D5" w:rsidR="008C2314" w:rsidRPr="00C15084" w:rsidRDefault="004C666B" w:rsidP="007B1B86">
      <w:pPr>
        <w:spacing w:before="240" w:after="240" w:line="240" w:lineRule="auto"/>
        <w:jc w:val="center"/>
        <w:rPr>
          <w:rFonts w:ascii="Arial" w:hAnsi="Arial" w:cs="Arial"/>
          <w:b/>
          <w:noProof/>
          <w:color w:val="0071C6"/>
          <w:sz w:val="28"/>
          <w:szCs w:val="28"/>
        </w:rPr>
      </w:pPr>
      <w:r w:rsidRPr="00C15084">
        <w:rPr>
          <w:rFonts w:ascii="Arial" w:hAnsi="Arial" w:cs="Arial"/>
          <w:b/>
          <w:noProof/>
          <w:color w:val="0071C6"/>
          <w:sz w:val="28"/>
          <w:szCs w:val="28"/>
        </w:rPr>
        <w:t>Attention Deficit Hyperactivity Disorder [ADHD]</w:t>
      </w:r>
      <w:r w:rsidR="008C2314" w:rsidRPr="00C15084">
        <w:rPr>
          <w:rFonts w:ascii="Arial" w:hAnsi="Arial" w:cs="Arial"/>
          <w:b/>
          <w:noProof/>
          <w:color w:val="0071C6"/>
          <w:sz w:val="28"/>
          <w:szCs w:val="28"/>
        </w:rPr>
        <w:t xml:space="preserve"> Formulary Guidance </w:t>
      </w:r>
      <w:r w:rsidR="00E5558F" w:rsidRPr="00C15084">
        <w:rPr>
          <w:rFonts w:ascii="Arial" w:hAnsi="Arial" w:cs="Arial"/>
          <w:b/>
          <w:noProof/>
          <w:color w:val="0071C6"/>
          <w:sz w:val="28"/>
          <w:szCs w:val="28"/>
        </w:rPr>
        <w:t>[v2</w:t>
      </w:r>
      <w:r w:rsidR="002A749F" w:rsidRPr="00C15084">
        <w:rPr>
          <w:rFonts w:ascii="Arial" w:hAnsi="Arial" w:cs="Arial"/>
          <w:b/>
          <w:noProof/>
          <w:color w:val="0071C6"/>
          <w:sz w:val="28"/>
          <w:szCs w:val="28"/>
        </w:rPr>
        <w:t>.0]</w:t>
      </w:r>
    </w:p>
    <w:p w14:paraId="5F5B9980" w14:textId="77777777" w:rsidR="008C2314" w:rsidRPr="00C15084" w:rsidRDefault="008C2314" w:rsidP="007B1B86">
      <w:pPr>
        <w:pStyle w:val="ListParagraph"/>
        <w:numPr>
          <w:ilvl w:val="0"/>
          <w:numId w:val="1"/>
        </w:numPr>
        <w:spacing w:before="240" w:after="240" w:line="240" w:lineRule="auto"/>
        <w:ind w:left="357" w:hanging="357"/>
        <w:contextualSpacing w:val="0"/>
        <w:rPr>
          <w:rFonts w:ascii="Arial" w:hAnsi="Arial" w:cs="Arial"/>
          <w:b/>
          <w:color w:val="0070C0"/>
          <w:sz w:val="24"/>
          <w:szCs w:val="24"/>
        </w:rPr>
      </w:pPr>
      <w:r w:rsidRPr="00C15084">
        <w:rPr>
          <w:rFonts w:ascii="Arial" w:hAnsi="Arial" w:cs="Arial"/>
          <w:b/>
          <w:color w:val="0070C0"/>
          <w:sz w:val="24"/>
          <w:szCs w:val="24"/>
        </w:rPr>
        <w:t>Introduction</w:t>
      </w:r>
    </w:p>
    <w:p w14:paraId="581CA25C" w14:textId="07C6CE68" w:rsidR="00EE3F00" w:rsidRPr="00C15084" w:rsidRDefault="00EE3F00" w:rsidP="007B1B86">
      <w:pPr>
        <w:pStyle w:val="ListParagraph"/>
        <w:spacing w:before="120" w:after="120" w:line="240" w:lineRule="auto"/>
        <w:ind w:left="363"/>
        <w:contextualSpacing w:val="0"/>
        <w:rPr>
          <w:rFonts w:ascii="Arial" w:hAnsi="Arial" w:cs="Arial"/>
          <w:sz w:val="24"/>
          <w:szCs w:val="24"/>
        </w:rPr>
      </w:pPr>
      <w:r w:rsidRPr="00C15084">
        <w:rPr>
          <w:rFonts w:ascii="Arial" w:hAnsi="Arial" w:cs="Arial"/>
          <w:sz w:val="24"/>
          <w:szCs w:val="24"/>
        </w:rPr>
        <w:t xml:space="preserve">These Guidelines are intended for </w:t>
      </w:r>
      <w:r w:rsidRPr="00C15084">
        <w:rPr>
          <w:rFonts w:ascii="Arial" w:hAnsi="Arial" w:cs="Arial"/>
          <w:color w:val="000000" w:themeColor="text1"/>
          <w:sz w:val="24"/>
          <w:szCs w:val="24"/>
        </w:rPr>
        <w:t xml:space="preserve">routine use. </w:t>
      </w:r>
      <w:r w:rsidR="002F75D0" w:rsidRPr="00C15084">
        <w:rPr>
          <w:rFonts w:ascii="Arial" w:hAnsi="Arial" w:cs="Arial"/>
          <w:color w:val="000000" w:themeColor="text1"/>
          <w:sz w:val="24"/>
          <w:szCs w:val="24"/>
        </w:rPr>
        <w:t>However,</w:t>
      </w:r>
      <w:r w:rsidRPr="00C15084">
        <w:rPr>
          <w:rFonts w:ascii="Arial" w:hAnsi="Arial" w:cs="Arial"/>
          <w:color w:val="000000" w:themeColor="text1"/>
          <w:sz w:val="24"/>
          <w:szCs w:val="24"/>
        </w:rPr>
        <w:t xml:space="preserve"> there will be instances where they are not suitable for the patient you are managing, where more bespoke treatment will be necessary. In such instances </w:t>
      </w:r>
      <w:r w:rsidR="00E05719" w:rsidRPr="00C15084">
        <w:rPr>
          <w:rFonts w:ascii="Arial" w:hAnsi="Arial" w:cs="Arial"/>
          <w:color w:val="000000" w:themeColor="text1"/>
          <w:sz w:val="24"/>
          <w:szCs w:val="24"/>
        </w:rPr>
        <w:t xml:space="preserve">the </w:t>
      </w:r>
      <w:r w:rsidRPr="00C15084">
        <w:rPr>
          <w:rFonts w:ascii="Arial" w:hAnsi="Arial" w:cs="Arial"/>
          <w:color w:val="000000" w:themeColor="text1"/>
          <w:sz w:val="24"/>
          <w:szCs w:val="24"/>
        </w:rPr>
        <w:t>rationale for prescribing away from formulary must be recorded.</w:t>
      </w:r>
    </w:p>
    <w:p w14:paraId="5D8D7B9C" w14:textId="77777777" w:rsidR="004C666B" w:rsidRPr="00C15084" w:rsidRDefault="004C666B" w:rsidP="007B1B86">
      <w:pPr>
        <w:widowControl w:val="0"/>
        <w:spacing w:before="120" w:after="120" w:line="240" w:lineRule="auto"/>
        <w:ind w:left="363"/>
        <w:rPr>
          <w:rFonts w:ascii="Arial" w:eastAsiaTheme="minorEastAsia" w:hAnsi="Arial" w:cs="Arial"/>
          <w:noProof/>
          <w:color w:val="000000"/>
          <w:kern w:val="2"/>
          <w:sz w:val="24"/>
          <w:szCs w:val="24"/>
          <w:lang w:val="en-US" w:eastAsia="zh-CN"/>
        </w:rPr>
      </w:pPr>
      <w:r w:rsidRPr="00C15084">
        <w:rPr>
          <w:rFonts w:ascii="Arial" w:eastAsiaTheme="minorEastAsia" w:hAnsi="Arial" w:cs="Arial"/>
          <w:noProof/>
          <w:color w:val="000000"/>
          <w:kern w:val="2"/>
          <w:sz w:val="24"/>
          <w:szCs w:val="24"/>
          <w:lang w:val="en-US" w:eastAsia="zh-CN"/>
        </w:rPr>
        <w:t>Attention Deficit Hyperactivity Disorder (ADHD)</w:t>
      </w:r>
      <w:r w:rsidR="00FB0188" w:rsidRPr="00C15084">
        <w:rPr>
          <w:rFonts w:ascii="Arial" w:eastAsiaTheme="minorEastAsia" w:hAnsi="Arial" w:cs="Arial"/>
          <w:noProof/>
          <w:color w:val="000000"/>
          <w:kern w:val="2"/>
          <w:sz w:val="24"/>
          <w:szCs w:val="24"/>
          <w:lang w:val="en-US" w:eastAsia="zh-CN"/>
        </w:rPr>
        <w:t xml:space="preserve"> is predominantly </w:t>
      </w:r>
      <w:r w:rsidRPr="00C15084">
        <w:rPr>
          <w:rFonts w:ascii="Arial" w:eastAsiaTheme="minorEastAsia" w:hAnsi="Arial" w:cs="Arial"/>
          <w:noProof/>
          <w:color w:val="000000"/>
          <w:kern w:val="2"/>
          <w:sz w:val="24"/>
          <w:szCs w:val="24"/>
          <w:lang w:val="en-US" w:eastAsia="zh-CN"/>
        </w:rPr>
        <w:t>seen in childhood but may continue into adulthood and cause clinically signif</w:t>
      </w:r>
      <w:r w:rsidR="00887286" w:rsidRPr="00C15084">
        <w:rPr>
          <w:rFonts w:ascii="Arial" w:eastAsiaTheme="minorEastAsia" w:hAnsi="Arial" w:cs="Arial"/>
          <w:noProof/>
          <w:color w:val="000000"/>
          <w:kern w:val="2"/>
          <w:sz w:val="24"/>
          <w:szCs w:val="24"/>
          <w:lang w:val="en-US" w:eastAsia="zh-CN"/>
        </w:rPr>
        <w:t>icant impairments.  Current tre</w:t>
      </w:r>
      <w:r w:rsidRPr="00C15084">
        <w:rPr>
          <w:rFonts w:ascii="Arial" w:eastAsiaTheme="minorEastAsia" w:hAnsi="Arial" w:cs="Arial"/>
          <w:noProof/>
          <w:color w:val="000000"/>
          <w:kern w:val="2"/>
          <w:sz w:val="24"/>
          <w:szCs w:val="24"/>
          <w:lang w:val="en-US" w:eastAsia="zh-CN"/>
        </w:rPr>
        <w:t>a</w:t>
      </w:r>
      <w:r w:rsidR="00887286" w:rsidRPr="00C15084">
        <w:rPr>
          <w:rFonts w:ascii="Arial" w:eastAsiaTheme="minorEastAsia" w:hAnsi="Arial" w:cs="Arial"/>
          <w:noProof/>
          <w:color w:val="000000"/>
          <w:kern w:val="2"/>
          <w:sz w:val="24"/>
          <w:szCs w:val="24"/>
          <w:lang w:val="en-US" w:eastAsia="zh-CN"/>
        </w:rPr>
        <w:t>t</w:t>
      </w:r>
      <w:r w:rsidRPr="00C15084">
        <w:rPr>
          <w:rFonts w:ascii="Arial" w:eastAsiaTheme="minorEastAsia" w:hAnsi="Arial" w:cs="Arial"/>
          <w:noProof/>
          <w:color w:val="000000"/>
          <w:kern w:val="2"/>
          <w:sz w:val="24"/>
          <w:szCs w:val="24"/>
          <w:lang w:val="en-US" w:eastAsia="zh-CN"/>
        </w:rPr>
        <w:t>ments for ADHD include a range of behavioural, social, psychological and pharmacological interventions and dietary advice.  The management should be shared between primary and secondary care.</w:t>
      </w:r>
    </w:p>
    <w:p w14:paraId="17CC07DC" w14:textId="77777777" w:rsidR="004C666B" w:rsidRPr="00C15084" w:rsidRDefault="004C666B" w:rsidP="007B1B86">
      <w:pPr>
        <w:widowControl w:val="0"/>
        <w:spacing w:before="120" w:after="120" w:line="240" w:lineRule="auto"/>
        <w:ind w:left="363"/>
        <w:rPr>
          <w:rFonts w:ascii="Arial" w:eastAsiaTheme="minorEastAsia" w:hAnsi="Arial" w:cs="Arial"/>
          <w:noProof/>
          <w:color w:val="000000"/>
          <w:kern w:val="2"/>
          <w:sz w:val="24"/>
          <w:szCs w:val="24"/>
          <w:lang w:val="en-US" w:eastAsia="zh-CN"/>
        </w:rPr>
      </w:pPr>
      <w:r w:rsidRPr="00C15084">
        <w:rPr>
          <w:rFonts w:ascii="Arial" w:eastAsiaTheme="minorEastAsia" w:hAnsi="Arial" w:cs="Arial"/>
          <w:noProof/>
          <w:color w:val="000000"/>
          <w:kern w:val="2"/>
          <w:sz w:val="24"/>
          <w:szCs w:val="24"/>
          <w:lang w:val="en-US" w:eastAsia="zh-CN"/>
        </w:rPr>
        <w:t>The principle diagnostic features are:</w:t>
      </w:r>
    </w:p>
    <w:p w14:paraId="095643E3" w14:textId="77777777" w:rsidR="004C666B" w:rsidRPr="00C15084" w:rsidRDefault="004C666B" w:rsidP="007B1B86">
      <w:pPr>
        <w:widowControl w:val="0"/>
        <w:spacing w:before="120" w:after="120" w:line="240" w:lineRule="auto"/>
        <w:ind w:left="363"/>
        <w:rPr>
          <w:rFonts w:ascii="Arial" w:eastAsiaTheme="minorEastAsia" w:hAnsi="Arial" w:cs="Arial"/>
          <w:noProof/>
          <w:color w:val="000000"/>
          <w:kern w:val="2"/>
          <w:sz w:val="24"/>
          <w:szCs w:val="24"/>
          <w:lang w:val="en-US" w:eastAsia="zh-CN"/>
        </w:rPr>
      </w:pPr>
      <w:r w:rsidRPr="00C15084">
        <w:rPr>
          <w:rFonts w:ascii="Arial" w:eastAsiaTheme="minorEastAsia" w:hAnsi="Arial" w:cs="Arial"/>
          <w:noProof/>
          <w:color w:val="000000"/>
          <w:kern w:val="2"/>
          <w:sz w:val="24"/>
          <w:szCs w:val="24"/>
          <w:lang w:val="en-US" w:eastAsia="zh-CN"/>
        </w:rPr>
        <w:t>Inattention, hyperactivity and impulsive behaviours that are often disruptive and may become defiant and aggressive.  In adults  the hyperactivity and impulsiveness tend to decrease, but symptoms of inattention persist.</w:t>
      </w:r>
    </w:p>
    <w:p w14:paraId="4D772173" w14:textId="0C160BF7" w:rsidR="00E5558F" w:rsidRPr="00C15084" w:rsidRDefault="00E5558F" w:rsidP="007B1B86">
      <w:pPr>
        <w:widowControl w:val="0"/>
        <w:spacing w:before="120" w:after="120" w:line="240" w:lineRule="auto"/>
        <w:ind w:left="363"/>
        <w:rPr>
          <w:rFonts w:ascii="Arial" w:eastAsiaTheme="minorEastAsia" w:hAnsi="Arial" w:cs="Arial"/>
          <w:kern w:val="2"/>
          <w:sz w:val="24"/>
          <w:szCs w:val="24"/>
          <w:lang w:val="en-US" w:eastAsia="zh-CN"/>
        </w:rPr>
      </w:pPr>
      <w:r w:rsidRPr="00C15084">
        <w:rPr>
          <w:rFonts w:ascii="Arial" w:eastAsiaTheme="minorEastAsia" w:hAnsi="Arial" w:cs="Arial"/>
          <w:noProof/>
          <w:color w:val="000000"/>
          <w:kern w:val="2"/>
          <w:sz w:val="24"/>
          <w:szCs w:val="24"/>
          <w:lang w:val="en-US" w:eastAsia="zh-CN"/>
        </w:rPr>
        <w:t xml:space="preserve">(Based on </w:t>
      </w:r>
      <w:hyperlink r:id="rId9" w:history="1">
        <w:r w:rsidRPr="00516EC4">
          <w:rPr>
            <w:rStyle w:val="Hyperlink"/>
            <w:rFonts w:ascii="Arial" w:eastAsiaTheme="minorEastAsia" w:hAnsi="Arial" w:cs="Arial"/>
            <w:noProof/>
            <w:kern w:val="2"/>
            <w:sz w:val="24"/>
            <w:szCs w:val="24"/>
            <w:lang w:val="en-US" w:eastAsia="zh-CN"/>
          </w:rPr>
          <w:t>NICE Guidance NG87</w:t>
        </w:r>
      </w:hyperlink>
      <w:r w:rsidR="000E3E81">
        <w:rPr>
          <w:rFonts w:ascii="Arial" w:eastAsiaTheme="minorEastAsia" w:hAnsi="Arial" w:cs="Arial"/>
          <w:noProof/>
          <w:color w:val="000000"/>
          <w:kern w:val="2"/>
          <w:sz w:val="24"/>
          <w:szCs w:val="24"/>
          <w:lang w:val="en-US" w:eastAsia="zh-CN"/>
        </w:rPr>
        <w:t xml:space="preserve"> – updated september 2019</w:t>
      </w:r>
    </w:p>
    <w:p w14:paraId="6E4B0547" w14:textId="77777777" w:rsidR="004C666B" w:rsidRPr="00C15084" w:rsidRDefault="004C666B" w:rsidP="007B1B86">
      <w:pPr>
        <w:pStyle w:val="ListParagraph"/>
        <w:numPr>
          <w:ilvl w:val="0"/>
          <w:numId w:val="1"/>
        </w:numPr>
        <w:spacing w:before="240" w:after="240" w:line="240" w:lineRule="auto"/>
        <w:ind w:left="360"/>
        <w:contextualSpacing w:val="0"/>
        <w:rPr>
          <w:rFonts w:ascii="Arial" w:hAnsi="Arial" w:cs="Arial"/>
          <w:b/>
          <w:color w:val="0070C0"/>
          <w:sz w:val="24"/>
          <w:szCs w:val="24"/>
        </w:rPr>
      </w:pPr>
      <w:r w:rsidRPr="00C15084">
        <w:rPr>
          <w:rFonts w:ascii="Arial" w:hAnsi="Arial" w:cs="Arial"/>
          <w:b/>
          <w:color w:val="0070C0"/>
          <w:sz w:val="24"/>
          <w:szCs w:val="24"/>
        </w:rPr>
        <w:t>Diagnosis</w:t>
      </w:r>
    </w:p>
    <w:p w14:paraId="4F166017" w14:textId="3C744B26" w:rsidR="004C666B" w:rsidRPr="00C15084" w:rsidRDefault="004C666B" w:rsidP="007B1B86">
      <w:pPr>
        <w:spacing w:before="120" w:after="120" w:line="240" w:lineRule="auto"/>
        <w:ind w:left="360"/>
        <w:jc w:val="both"/>
        <w:rPr>
          <w:rFonts w:ascii="Arial" w:eastAsia="Times New Roman" w:hAnsi="Arial" w:cs="Arial"/>
          <w:sz w:val="24"/>
          <w:szCs w:val="24"/>
        </w:rPr>
      </w:pPr>
      <w:r w:rsidRPr="00C15084">
        <w:rPr>
          <w:rFonts w:ascii="Arial" w:eastAsia="Times New Roman" w:hAnsi="Arial" w:cs="Arial"/>
          <w:sz w:val="24"/>
          <w:szCs w:val="24"/>
        </w:rPr>
        <w:t xml:space="preserve">The World Health Organisation system (ICD- 10) is widely used in Europe. A diagnosis of hyperkinetic disorder (severe ADHD) requires three difficulties to be present- hyperactivity, </w:t>
      </w:r>
      <w:r w:rsidR="002F75D0" w:rsidRPr="00C15084">
        <w:rPr>
          <w:rFonts w:ascii="Arial" w:eastAsia="Times New Roman" w:hAnsi="Arial" w:cs="Arial"/>
          <w:sz w:val="24"/>
          <w:szCs w:val="24"/>
        </w:rPr>
        <w:t>impulsivity,</w:t>
      </w:r>
      <w:r w:rsidRPr="00C15084">
        <w:rPr>
          <w:rFonts w:ascii="Arial" w:eastAsia="Times New Roman" w:hAnsi="Arial" w:cs="Arial"/>
          <w:sz w:val="24"/>
          <w:szCs w:val="24"/>
        </w:rPr>
        <w:t xml:space="preserve"> and inattention.</w:t>
      </w:r>
    </w:p>
    <w:p w14:paraId="28713064" w14:textId="77777777" w:rsidR="004C666B" w:rsidRPr="00C15084" w:rsidRDefault="004C666B" w:rsidP="007B1B86">
      <w:pPr>
        <w:spacing w:before="120" w:after="120" w:line="240" w:lineRule="auto"/>
        <w:ind w:left="360"/>
        <w:jc w:val="both"/>
        <w:rPr>
          <w:rFonts w:ascii="Arial" w:eastAsia="Times New Roman" w:hAnsi="Arial" w:cs="Arial"/>
          <w:sz w:val="24"/>
          <w:szCs w:val="24"/>
        </w:rPr>
      </w:pPr>
      <w:r w:rsidRPr="00C15084">
        <w:rPr>
          <w:rFonts w:ascii="Arial" w:eastAsia="Times New Roman" w:hAnsi="Arial" w:cs="Arial"/>
          <w:sz w:val="24"/>
          <w:szCs w:val="24"/>
        </w:rPr>
        <w:t xml:space="preserve">The DSM - IV diagnostic criteria of the American Psychiatric Association </w:t>
      </w:r>
      <w:proofErr w:type="gramStart"/>
      <w:r w:rsidRPr="00C15084">
        <w:rPr>
          <w:rFonts w:ascii="Arial" w:eastAsia="Times New Roman" w:hAnsi="Arial" w:cs="Arial"/>
          <w:sz w:val="24"/>
          <w:szCs w:val="24"/>
        </w:rPr>
        <w:t>has</w:t>
      </w:r>
      <w:proofErr w:type="gramEnd"/>
      <w:r w:rsidRPr="00C15084">
        <w:rPr>
          <w:rFonts w:ascii="Arial" w:eastAsia="Times New Roman" w:hAnsi="Arial" w:cs="Arial"/>
          <w:sz w:val="24"/>
          <w:szCs w:val="24"/>
        </w:rPr>
        <w:t xml:space="preserve"> broader criteria: a diagnosis of ADHD can be made with either impulsivity- hyperactivity (the two problems are combined together) or inattention, as well as with both.</w:t>
      </w:r>
    </w:p>
    <w:p w14:paraId="195A4499" w14:textId="77777777" w:rsidR="004C666B" w:rsidRPr="00C15084" w:rsidRDefault="004C666B" w:rsidP="007B1B86">
      <w:pPr>
        <w:spacing w:before="120" w:after="120" w:line="240" w:lineRule="auto"/>
        <w:ind w:left="360"/>
        <w:rPr>
          <w:rFonts w:ascii="Arial" w:eastAsia="Times New Roman" w:hAnsi="Arial" w:cs="Arial"/>
          <w:sz w:val="24"/>
          <w:szCs w:val="24"/>
        </w:rPr>
      </w:pPr>
      <w:r w:rsidRPr="00C15084">
        <w:rPr>
          <w:rFonts w:ascii="Arial" w:eastAsia="Times New Roman" w:hAnsi="Arial" w:cs="Arial"/>
          <w:sz w:val="24"/>
          <w:szCs w:val="24"/>
        </w:rPr>
        <w:t>The health care professionals will look for alarm signals:</w:t>
      </w:r>
    </w:p>
    <w:p w14:paraId="37065402" w14:textId="77777777" w:rsidR="004C666B" w:rsidRPr="00C15084" w:rsidRDefault="004C666B" w:rsidP="007B1B86">
      <w:pPr>
        <w:widowControl w:val="0"/>
        <w:numPr>
          <w:ilvl w:val="0"/>
          <w:numId w:val="3"/>
        </w:numPr>
        <w:tabs>
          <w:tab w:val="num" w:pos="3600"/>
        </w:tabs>
        <w:spacing w:before="120" w:after="120" w:line="240" w:lineRule="auto"/>
        <w:ind w:left="1077" w:hanging="357"/>
        <w:rPr>
          <w:rFonts w:ascii="Arial" w:eastAsia="Times New Roman" w:hAnsi="Arial" w:cs="Arial"/>
          <w:sz w:val="24"/>
          <w:szCs w:val="24"/>
        </w:rPr>
      </w:pPr>
      <w:r w:rsidRPr="00C15084">
        <w:rPr>
          <w:rFonts w:ascii="Arial" w:eastAsia="Times New Roman" w:hAnsi="Arial" w:cs="Arial"/>
          <w:sz w:val="24"/>
          <w:szCs w:val="24"/>
        </w:rPr>
        <w:t>The child who significantly under performs at school, despite having a normal intellect and no major specific learning difficulties.</w:t>
      </w:r>
    </w:p>
    <w:p w14:paraId="08D1B3EF" w14:textId="77777777" w:rsidR="004C666B" w:rsidRPr="00C15084" w:rsidRDefault="004C666B" w:rsidP="007B1B86">
      <w:pPr>
        <w:widowControl w:val="0"/>
        <w:numPr>
          <w:ilvl w:val="0"/>
          <w:numId w:val="3"/>
        </w:numPr>
        <w:tabs>
          <w:tab w:val="num" w:pos="2520"/>
        </w:tabs>
        <w:spacing w:before="120" w:after="120" w:line="240" w:lineRule="auto"/>
        <w:ind w:left="1077" w:hanging="357"/>
        <w:rPr>
          <w:rFonts w:ascii="Arial" w:eastAsia="Times New Roman" w:hAnsi="Arial" w:cs="Arial"/>
          <w:sz w:val="24"/>
          <w:szCs w:val="24"/>
        </w:rPr>
      </w:pPr>
      <w:r w:rsidRPr="00C15084">
        <w:rPr>
          <w:rFonts w:ascii="Arial" w:eastAsia="Times New Roman" w:hAnsi="Arial" w:cs="Arial"/>
          <w:sz w:val="24"/>
          <w:szCs w:val="24"/>
        </w:rPr>
        <w:t>The child who has ADHD behaviour problems, which are considerably worse than, would be expected for the standard of parenting and home environment.</w:t>
      </w:r>
    </w:p>
    <w:p w14:paraId="6FF09E2E" w14:textId="77777777" w:rsidR="004C666B" w:rsidRPr="00C15084" w:rsidRDefault="004C666B" w:rsidP="007B1B86">
      <w:pPr>
        <w:spacing w:before="120" w:after="120" w:line="240" w:lineRule="auto"/>
        <w:ind w:left="363"/>
        <w:rPr>
          <w:rFonts w:ascii="Arial" w:eastAsia="Times New Roman" w:hAnsi="Arial" w:cs="Arial"/>
          <w:bCs/>
          <w:sz w:val="24"/>
          <w:szCs w:val="24"/>
        </w:rPr>
      </w:pPr>
      <w:r w:rsidRPr="00C15084">
        <w:rPr>
          <w:rFonts w:ascii="Arial" w:eastAsia="Times New Roman" w:hAnsi="Arial" w:cs="Arial"/>
          <w:b/>
          <w:sz w:val="24"/>
          <w:szCs w:val="24"/>
        </w:rPr>
        <w:t>Differential diagnosis</w:t>
      </w:r>
    </w:p>
    <w:p w14:paraId="7CF13A0D" w14:textId="77777777" w:rsidR="004C666B" w:rsidRPr="00C15084" w:rsidRDefault="004C666B" w:rsidP="007B1B86">
      <w:pPr>
        <w:widowControl w:val="0"/>
        <w:numPr>
          <w:ilvl w:val="0"/>
          <w:numId w:val="4"/>
        </w:numPr>
        <w:tabs>
          <w:tab w:val="clear" w:pos="1080"/>
          <w:tab w:val="num" w:pos="2520"/>
        </w:tabs>
        <w:spacing w:before="120" w:after="120" w:line="240" w:lineRule="auto"/>
        <w:ind w:left="1077" w:hanging="357"/>
        <w:rPr>
          <w:rFonts w:ascii="Arial" w:eastAsia="Times New Roman" w:hAnsi="Arial" w:cs="Arial"/>
          <w:sz w:val="24"/>
          <w:szCs w:val="24"/>
        </w:rPr>
      </w:pPr>
      <w:r w:rsidRPr="00C15084">
        <w:rPr>
          <w:rFonts w:ascii="Arial" w:eastAsia="Times New Roman" w:hAnsi="Arial" w:cs="Arial"/>
          <w:sz w:val="24"/>
          <w:szCs w:val="24"/>
        </w:rPr>
        <w:t>The normal active preschool child</w:t>
      </w:r>
    </w:p>
    <w:p w14:paraId="4D4D01ED" w14:textId="77777777" w:rsidR="004C666B" w:rsidRPr="00C15084" w:rsidRDefault="004C666B" w:rsidP="007B1B86">
      <w:pPr>
        <w:widowControl w:val="0"/>
        <w:numPr>
          <w:ilvl w:val="0"/>
          <w:numId w:val="4"/>
        </w:numPr>
        <w:tabs>
          <w:tab w:val="clear" w:pos="1080"/>
          <w:tab w:val="num" w:pos="2520"/>
        </w:tabs>
        <w:spacing w:before="120" w:after="120" w:line="240" w:lineRule="auto"/>
        <w:ind w:left="1077" w:hanging="357"/>
        <w:rPr>
          <w:rFonts w:ascii="Arial" w:eastAsia="Times New Roman" w:hAnsi="Arial" w:cs="Arial"/>
          <w:sz w:val="24"/>
          <w:szCs w:val="24"/>
        </w:rPr>
      </w:pPr>
      <w:r w:rsidRPr="00C15084">
        <w:rPr>
          <w:rFonts w:ascii="Arial" w:eastAsia="Times New Roman" w:hAnsi="Arial" w:cs="Arial"/>
          <w:sz w:val="24"/>
          <w:szCs w:val="24"/>
        </w:rPr>
        <w:t>Intellectual disability</w:t>
      </w:r>
    </w:p>
    <w:p w14:paraId="1E4FCF05" w14:textId="77777777" w:rsidR="004C666B" w:rsidRPr="00C15084" w:rsidRDefault="004C666B" w:rsidP="007B1B86">
      <w:pPr>
        <w:widowControl w:val="0"/>
        <w:numPr>
          <w:ilvl w:val="0"/>
          <w:numId w:val="4"/>
        </w:numPr>
        <w:tabs>
          <w:tab w:val="clear" w:pos="1080"/>
          <w:tab w:val="num" w:pos="2520"/>
        </w:tabs>
        <w:spacing w:before="120" w:after="120" w:line="240" w:lineRule="auto"/>
        <w:ind w:left="1077" w:hanging="357"/>
        <w:rPr>
          <w:rFonts w:ascii="Arial" w:eastAsia="Times New Roman" w:hAnsi="Arial" w:cs="Arial"/>
          <w:sz w:val="24"/>
          <w:szCs w:val="24"/>
        </w:rPr>
      </w:pPr>
      <w:r w:rsidRPr="00C15084">
        <w:rPr>
          <w:rFonts w:ascii="Arial" w:eastAsia="Times New Roman" w:hAnsi="Arial" w:cs="Arial"/>
          <w:sz w:val="24"/>
          <w:szCs w:val="24"/>
        </w:rPr>
        <w:t>Specific learning difficulties</w:t>
      </w:r>
    </w:p>
    <w:p w14:paraId="76C5B832" w14:textId="77777777" w:rsidR="004C666B" w:rsidRPr="00C15084" w:rsidRDefault="004C666B" w:rsidP="007B1B86">
      <w:pPr>
        <w:widowControl w:val="0"/>
        <w:numPr>
          <w:ilvl w:val="0"/>
          <w:numId w:val="4"/>
        </w:numPr>
        <w:tabs>
          <w:tab w:val="clear" w:pos="1080"/>
          <w:tab w:val="num" w:pos="2520"/>
        </w:tabs>
        <w:spacing w:before="120" w:after="120" w:line="240" w:lineRule="auto"/>
        <w:ind w:left="1077" w:hanging="357"/>
        <w:rPr>
          <w:rFonts w:ascii="Arial" w:eastAsia="Times New Roman" w:hAnsi="Arial" w:cs="Arial"/>
          <w:sz w:val="24"/>
          <w:szCs w:val="24"/>
        </w:rPr>
      </w:pPr>
      <w:r w:rsidRPr="00C15084">
        <w:rPr>
          <w:rFonts w:ascii="Arial" w:eastAsia="Times New Roman" w:hAnsi="Arial" w:cs="Arial"/>
          <w:sz w:val="24"/>
          <w:szCs w:val="24"/>
        </w:rPr>
        <w:t>Autism Spectrum Disorder</w:t>
      </w:r>
    </w:p>
    <w:p w14:paraId="1A385E03" w14:textId="77777777" w:rsidR="004C666B" w:rsidRPr="00C15084" w:rsidRDefault="004C666B" w:rsidP="007B1B86">
      <w:pPr>
        <w:widowControl w:val="0"/>
        <w:numPr>
          <w:ilvl w:val="0"/>
          <w:numId w:val="4"/>
        </w:numPr>
        <w:tabs>
          <w:tab w:val="clear" w:pos="1080"/>
          <w:tab w:val="num" w:pos="2520"/>
        </w:tabs>
        <w:spacing w:before="120" w:after="120" w:line="240" w:lineRule="auto"/>
        <w:ind w:left="1077" w:hanging="357"/>
        <w:rPr>
          <w:rFonts w:ascii="Arial" w:eastAsia="Times New Roman" w:hAnsi="Arial" w:cs="Arial"/>
          <w:sz w:val="24"/>
          <w:szCs w:val="24"/>
        </w:rPr>
      </w:pPr>
      <w:r w:rsidRPr="00C15084">
        <w:rPr>
          <w:rFonts w:ascii="Arial" w:eastAsia="Times New Roman" w:hAnsi="Arial" w:cs="Arial"/>
          <w:sz w:val="24"/>
          <w:szCs w:val="24"/>
        </w:rPr>
        <w:t>Epilepsy</w:t>
      </w:r>
    </w:p>
    <w:p w14:paraId="7F7B58B3" w14:textId="77777777" w:rsidR="004C666B" w:rsidRPr="00C15084" w:rsidRDefault="004C666B" w:rsidP="007B1B86">
      <w:pPr>
        <w:widowControl w:val="0"/>
        <w:numPr>
          <w:ilvl w:val="0"/>
          <w:numId w:val="4"/>
        </w:numPr>
        <w:tabs>
          <w:tab w:val="clear" w:pos="1080"/>
          <w:tab w:val="num" w:pos="2520"/>
        </w:tabs>
        <w:spacing w:before="120" w:after="120" w:line="240" w:lineRule="auto"/>
        <w:ind w:left="1077" w:hanging="357"/>
        <w:rPr>
          <w:rFonts w:ascii="Arial" w:eastAsia="Times New Roman" w:hAnsi="Arial" w:cs="Arial"/>
          <w:sz w:val="24"/>
          <w:szCs w:val="24"/>
        </w:rPr>
      </w:pPr>
      <w:r w:rsidRPr="00C15084">
        <w:rPr>
          <w:rFonts w:ascii="Arial" w:eastAsia="Times New Roman" w:hAnsi="Arial" w:cs="Arial"/>
          <w:sz w:val="24"/>
          <w:szCs w:val="24"/>
        </w:rPr>
        <w:t>Depression</w:t>
      </w:r>
    </w:p>
    <w:p w14:paraId="3A06D366" w14:textId="77777777" w:rsidR="004C666B" w:rsidRPr="00C15084" w:rsidRDefault="004C666B" w:rsidP="007B1B86">
      <w:pPr>
        <w:widowControl w:val="0"/>
        <w:numPr>
          <w:ilvl w:val="0"/>
          <w:numId w:val="4"/>
        </w:numPr>
        <w:tabs>
          <w:tab w:val="clear" w:pos="1080"/>
          <w:tab w:val="num" w:pos="2520"/>
        </w:tabs>
        <w:spacing w:before="120" w:after="120" w:line="240" w:lineRule="auto"/>
        <w:ind w:left="1077" w:hanging="357"/>
        <w:rPr>
          <w:rFonts w:ascii="Arial" w:eastAsia="Times New Roman" w:hAnsi="Arial" w:cs="Arial"/>
          <w:sz w:val="24"/>
          <w:szCs w:val="24"/>
        </w:rPr>
      </w:pPr>
      <w:r w:rsidRPr="00C15084">
        <w:rPr>
          <w:rFonts w:ascii="Arial" w:eastAsia="Times New Roman" w:hAnsi="Arial" w:cs="Arial"/>
          <w:sz w:val="24"/>
          <w:szCs w:val="24"/>
        </w:rPr>
        <w:t>Brain injury</w:t>
      </w:r>
    </w:p>
    <w:p w14:paraId="32E8BA03" w14:textId="77777777" w:rsidR="004C666B" w:rsidRPr="00C15084" w:rsidRDefault="004C666B" w:rsidP="007B1B86">
      <w:pPr>
        <w:widowControl w:val="0"/>
        <w:numPr>
          <w:ilvl w:val="0"/>
          <w:numId w:val="4"/>
        </w:numPr>
        <w:tabs>
          <w:tab w:val="clear" w:pos="1080"/>
          <w:tab w:val="num" w:pos="2520"/>
        </w:tabs>
        <w:spacing w:before="120" w:after="120" w:line="240" w:lineRule="auto"/>
        <w:ind w:left="1077" w:hanging="357"/>
        <w:rPr>
          <w:rFonts w:ascii="Arial" w:eastAsia="Times New Roman" w:hAnsi="Arial" w:cs="Arial"/>
          <w:sz w:val="24"/>
          <w:szCs w:val="24"/>
        </w:rPr>
      </w:pPr>
      <w:r w:rsidRPr="00C15084">
        <w:rPr>
          <w:rFonts w:ascii="Arial" w:eastAsia="Times New Roman" w:hAnsi="Arial" w:cs="Arial"/>
          <w:sz w:val="24"/>
          <w:szCs w:val="24"/>
        </w:rPr>
        <w:lastRenderedPageBreak/>
        <w:t>Family dysfunction</w:t>
      </w:r>
    </w:p>
    <w:p w14:paraId="2534C348" w14:textId="77777777" w:rsidR="004C666B" w:rsidRPr="00C15084" w:rsidRDefault="004C666B" w:rsidP="007B1B86">
      <w:pPr>
        <w:tabs>
          <w:tab w:val="left" w:pos="426"/>
        </w:tabs>
        <w:spacing w:before="120" w:after="120" w:line="240" w:lineRule="auto"/>
        <w:ind w:left="363"/>
        <w:rPr>
          <w:rFonts w:ascii="Arial" w:eastAsia="Times New Roman" w:hAnsi="Arial" w:cs="Arial"/>
          <w:sz w:val="24"/>
          <w:szCs w:val="24"/>
        </w:rPr>
      </w:pPr>
      <w:r w:rsidRPr="00C15084">
        <w:rPr>
          <w:rFonts w:ascii="Arial" w:eastAsia="Times New Roman" w:hAnsi="Arial" w:cs="Arial"/>
          <w:sz w:val="24"/>
          <w:szCs w:val="24"/>
        </w:rPr>
        <w:t>They may also use some objective pointers towards diagnosis such as:</w:t>
      </w:r>
    </w:p>
    <w:p w14:paraId="743471DA" w14:textId="42F2E4AB" w:rsidR="004C666B" w:rsidRPr="00C15084" w:rsidRDefault="004C666B" w:rsidP="007B1B86">
      <w:pPr>
        <w:pStyle w:val="ListParagraph"/>
        <w:widowControl w:val="0"/>
        <w:numPr>
          <w:ilvl w:val="0"/>
          <w:numId w:val="22"/>
        </w:numPr>
        <w:tabs>
          <w:tab w:val="left" w:pos="426"/>
        </w:tabs>
        <w:spacing w:before="120" w:after="120" w:line="240" w:lineRule="auto"/>
        <w:ind w:left="1077" w:hanging="357"/>
        <w:contextualSpacing w:val="0"/>
        <w:rPr>
          <w:rFonts w:ascii="Arial" w:eastAsia="Times New Roman" w:hAnsi="Arial" w:cs="Arial"/>
          <w:sz w:val="24"/>
          <w:szCs w:val="24"/>
        </w:rPr>
      </w:pPr>
      <w:r w:rsidRPr="00C15084">
        <w:rPr>
          <w:rFonts w:ascii="Arial" w:eastAsia="Times New Roman" w:hAnsi="Arial" w:cs="Arial"/>
          <w:sz w:val="24"/>
          <w:szCs w:val="24"/>
        </w:rPr>
        <w:t>Rating scal</w:t>
      </w:r>
      <w:r w:rsidR="00492079" w:rsidRPr="00C15084">
        <w:rPr>
          <w:rFonts w:ascii="Arial" w:eastAsia="Times New Roman" w:hAnsi="Arial" w:cs="Arial"/>
          <w:sz w:val="24"/>
          <w:szCs w:val="24"/>
        </w:rPr>
        <w:t xml:space="preserve">es by parents and teachers </w:t>
      </w:r>
      <w:r w:rsidR="00AF64D2" w:rsidRPr="00C15084">
        <w:rPr>
          <w:rFonts w:ascii="Arial" w:eastAsia="Times New Roman" w:hAnsi="Arial" w:cs="Arial"/>
          <w:sz w:val="24"/>
          <w:szCs w:val="24"/>
        </w:rPr>
        <w:t>e.g.,</w:t>
      </w:r>
      <w:r w:rsidRPr="00C15084">
        <w:rPr>
          <w:rFonts w:ascii="Arial" w:eastAsia="Times New Roman" w:hAnsi="Arial" w:cs="Arial"/>
          <w:sz w:val="24"/>
          <w:szCs w:val="24"/>
        </w:rPr>
        <w:t xml:space="preserve"> Conners Teacher and Parent Rating Scales</w:t>
      </w:r>
    </w:p>
    <w:p w14:paraId="1B00AA17" w14:textId="77777777" w:rsidR="004C666B" w:rsidRPr="00C15084" w:rsidRDefault="004C666B" w:rsidP="007B1B86">
      <w:pPr>
        <w:pStyle w:val="ListParagraph"/>
        <w:widowControl w:val="0"/>
        <w:numPr>
          <w:ilvl w:val="0"/>
          <w:numId w:val="22"/>
        </w:numPr>
        <w:tabs>
          <w:tab w:val="left" w:pos="426"/>
        </w:tabs>
        <w:spacing w:before="120" w:after="120" w:line="240" w:lineRule="auto"/>
        <w:ind w:left="1077" w:hanging="357"/>
        <w:contextualSpacing w:val="0"/>
        <w:rPr>
          <w:rFonts w:ascii="Arial" w:eastAsia="Times New Roman" w:hAnsi="Arial" w:cs="Arial"/>
          <w:sz w:val="24"/>
          <w:szCs w:val="24"/>
        </w:rPr>
      </w:pPr>
      <w:r w:rsidRPr="00C15084">
        <w:rPr>
          <w:rFonts w:ascii="Arial" w:eastAsia="Times New Roman" w:hAnsi="Arial" w:cs="Arial"/>
          <w:sz w:val="24"/>
          <w:szCs w:val="24"/>
        </w:rPr>
        <w:t>Tests which measure length and type of mental process (Psychometric tests and profiles).</w:t>
      </w:r>
      <w:r w:rsidRPr="00C15084">
        <w:rPr>
          <w:rFonts w:ascii="Arial" w:eastAsia="Times New Roman" w:hAnsi="Arial" w:cs="Arial"/>
          <w:color w:val="FF0000"/>
          <w:sz w:val="24"/>
          <w:szCs w:val="24"/>
        </w:rPr>
        <w:t xml:space="preserve"> </w:t>
      </w:r>
    </w:p>
    <w:p w14:paraId="0389EB6F" w14:textId="77777777" w:rsidR="004C666B" w:rsidRPr="00C15084" w:rsidRDefault="004C666B" w:rsidP="007B1B86">
      <w:pPr>
        <w:tabs>
          <w:tab w:val="left" w:pos="426"/>
        </w:tabs>
        <w:spacing w:before="120" w:after="120" w:line="240" w:lineRule="auto"/>
        <w:ind w:left="363"/>
        <w:rPr>
          <w:rFonts w:ascii="Arial" w:eastAsia="Times New Roman" w:hAnsi="Arial" w:cs="Arial"/>
          <w:sz w:val="24"/>
          <w:szCs w:val="24"/>
        </w:rPr>
      </w:pPr>
      <w:r w:rsidRPr="00C15084">
        <w:rPr>
          <w:rFonts w:ascii="Arial" w:eastAsia="Times New Roman" w:hAnsi="Arial" w:cs="Arial"/>
          <w:sz w:val="24"/>
          <w:szCs w:val="24"/>
        </w:rPr>
        <w:t xml:space="preserve">In adults and in patients with learning disabilities diagnosis may sometimes be based on impression and subsequent response to </w:t>
      </w:r>
      <w:r w:rsidR="00887286" w:rsidRPr="00C15084">
        <w:rPr>
          <w:rFonts w:ascii="Arial" w:eastAsia="Times New Roman" w:hAnsi="Arial" w:cs="Arial"/>
          <w:sz w:val="24"/>
          <w:szCs w:val="24"/>
        </w:rPr>
        <w:t>treatment</w:t>
      </w:r>
    </w:p>
    <w:p w14:paraId="5D19A1D7" w14:textId="77777777" w:rsidR="008C2314" w:rsidRPr="00C15084" w:rsidRDefault="008C2314" w:rsidP="007B1B86">
      <w:pPr>
        <w:pStyle w:val="ListParagraph"/>
        <w:numPr>
          <w:ilvl w:val="0"/>
          <w:numId w:val="1"/>
        </w:numPr>
        <w:spacing w:before="240" w:after="0" w:line="240" w:lineRule="auto"/>
        <w:ind w:left="360"/>
        <w:contextualSpacing w:val="0"/>
        <w:rPr>
          <w:rFonts w:ascii="Arial" w:hAnsi="Arial" w:cs="Arial"/>
          <w:b/>
          <w:color w:val="0070C0"/>
          <w:sz w:val="24"/>
          <w:szCs w:val="24"/>
        </w:rPr>
      </w:pPr>
      <w:r w:rsidRPr="00C15084">
        <w:rPr>
          <w:rFonts w:ascii="Arial" w:hAnsi="Arial" w:cs="Arial"/>
          <w:b/>
          <w:color w:val="0070C0"/>
          <w:sz w:val="24"/>
          <w:szCs w:val="24"/>
        </w:rPr>
        <w:t>P</w:t>
      </w:r>
      <w:r w:rsidR="00BF75CA" w:rsidRPr="00C15084">
        <w:rPr>
          <w:rFonts w:ascii="Arial" w:hAnsi="Arial" w:cs="Arial"/>
          <w:b/>
          <w:color w:val="0070C0"/>
          <w:sz w:val="24"/>
          <w:szCs w:val="24"/>
        </w:rPr>
        <w:t>harmacological Treatment</w:t>
      </w:r>
      <w:r w:rsidRPr="00C15084">
        <w:rPr>
          <w:rFonts w:ascii="Arial" w:hAnsi="Arial" w:cs="Arial"/>
          <w:b/>
          <w:color w:val="0070C0"/>
          <w:sz w:val="24"/>
          <w:szCs w:val="24"/>
        </w:rPr>
        <w:t xml:space="preserve"> – Key Points </w:t>
      </w:r>
    </w:p>
    <w:p w14:paraId="3B62AEDD" w14:textId="77777777" w:rsidR="004C666B" w:rsidRPr="00C15084" w:rsidRDefault="004C666B" w:rsidP="007B1B86">
      <w:pPr>
        <w:widowControl w:val="0"/>
        <w:numPr>
          <w:ilvl w:val="0"/>
          <w:numId w:val="6"/>
        </w:numPr>
        <w:spacing w:before="120" w:after="120" w:line="240" w:lineRule="auto"/>
        <w:ind w:left="1077" w:hanging="357"/>
        <w:rPr>
          <w:rFonts w:ascii="Arial" w:eastAsia="Times New Roman" w:hAnsi="Arial" w:cs="Arial"/>
          <w:sz w:val="24"/>
          <w:szCs w:val="24"/>
          <w:lang w:val="en-US"/>
        </w:rPr>
      </w:pPr>
      <w:r w:rsidRPr="00C15084">
        <w:rPr>
          <w:rFonts w:ascii="Arial" w:eastAsia="Times New Roman" w:hAnsi="Arial" w:cs="Arial"/>
          <w:sz w:val="24"/>
          <w:szCs w:val="24"/>
          <w:lang w:val="en-US"/>
        </w:rPr>
        <w:t xml:space="preserve">ADHD medication is indicated in severe ADHD. If a child or adolescent needs treatment with medication for ADHD, methylphenidate, atomoxetine and </w:t>
      </w:r>
      <w:proofErr w:type="spellStart"/>
      <w:r w:rsidRPr="00C15084">
        <w:rPr>
          <w:rFonts w:ascii="Arial" w:eastAsia="Times New Roman" w:hAnsi="Arial" w:cs="Arial"/>
          <w:sz w:val="24"/>
          <w:szCs w:val="24"/>
          <w:lang w:val="en-US"/>
        </w:rPr>
        <w:t>dexamfetamine</w:t>
      </w:r>
      <w:proofErr w:type="spellEnd"/>
      <w:r w:rsidR="00F4075C" w:rsidRPr="00C15084">
        <w:rPr>
          <w:rFonts w:ascii="Arial" w:eastAsia="Times New Roman" w:hAnsi="Arial" w:cs="Arial"/>
          <w:sz w:val="24"/>
          <w:szCs w:val="24"/>
          <w:lang w:val="en-US"/>
        </w:rPr>
        <w:t xml:space="preserve">, </w:t>
      </w:r>
      <w:proofErr w:type="spellStart"/>
      <w:r w:rsidR="00F4075C" w:rsidRPr="00C15084">
        <w:rPr>
          <w:rFonts w:ascii="Arial" w:eastAsia="Times New Roman" w:hAnsi="Arial" w:cs="Arial"/>
          <w:sz w:val="24"/>
          <w:szCs w:val="24"/>
          <w:lang w:val="en-US"/>
        </w:rPr>
        <w:t>Lisdexamfetamine</w:t>
      </w:r>
      <w:proofErr w:type="spellEnd"/>
      <w:r w:rsidR="00F4075C" w:rsidRPr="00C15084">
        <w:rPr>
          <w:rFonts w:ascii="Arial" w:eastAsia="Times New Roman" w:hAnsi="Arial" w:cs="Arial"/>
          <w:sz w:val="24"/>
          <w:szCs w:val="24"/>
          <w:lang w:val="en-US"/>
        </w:rPr>
        <w:t xml:space="preserve"> and Guanfacine </w:t>
      </w:r>
      <w:r w:rsidRPr="00C15084">
        <w:rPr>
          <w:rFonts w:ascii="Arial" w:eastAsia="Times New Roman" w:hAnsi="Arial" w:cs="Arial"/>
          <w:sz w:val="24"/>
          <w:szCs w:val="24"/>
          <w:lang w:val="en-US"/>
        </w:rPr>
        <w:t>are all recommended as possible choices. When deciding which drug to use, doctors should consider the following:</w:t>
      </w:r>
    </w:p>
    <w:p w14:paraId="53DB347E" w14:textId="77777777" w:rsidR="004C666B" w:rsidRPr="00C15084" w:rsidRDefault="00492079" w:rsidP="007B1B86">
      <w:pPr>
        <w:widowControl w:val="0"/>
        <w:numPr>
          <w:ilvl w:val="1"/>
          <w:numId w:val="6"/>
        </w:numPr>
        <w:spacing w:before="120" w:after="120" w:line="240" w:lineRule="auto"/>
        <w:ind w:left="1443"/>
        <w:jc w:val="both"/>
        <w:rPr>
          <w:rFonts w:ascii="Arial" w:eastAsia="Times New Roman" w:hAnsi="Arial" w:cs="Arial"/>
          <w:sz w:val="24"/>
          <w:szCs w:val="24"/>
          <w:lang w:val="en-US"/>
        </w:rPr>
      </w:pPr>
      <w:r w:rsidRPr="00C15084">
        <w:rPr>
          <w:rFonts w:ascii="Arial" w:eastAsia="Times New Roman" w:hAnsi="Arial" w:cs="Arial"/>
          <w:sz w:val="24"/>
          <w:szCs w:val="24"/>
          <w:lang w:val="en-US"/>
        </w:rPr>
        <w:t xml:space="preserve">Whether the child or adolescent has other conditions such as epilepsy </w:t>
      </w:r>
    </w:p>
    <w:p w14:paraId="1B79A84F" w14:textId="77777777" w:rsidR="004C666B" w:rsidRPr="00C15084" w:rsidRDefault="00492079" w:rsidP="007B1B86">
      <w:pPr>
        <w:widowControl w:val="0"/>
        <w:numPr>
          <w:ilvl w:val="1"/>
          <w:numId w:val="6"/>
        </w:numPr>
        <w:spacing w:before="120" w:after="120" w:line="240" w:lineRule="auto"/>
        <w:ind w:left="1443"/>
        <w:jc w:val="both"/>
        <w:rPr>
          <w:rFonts w:ascii="Arial" w:eastAsia="Times New Roman" w:hAnsi="Arial" w:cs="Arial"/>
          <w:sz w:val="24"/>
          <w:szCs w:val="24"/>
          <w:lang w:val="en-US"/>
        </w:rPr>
      </w:pPr>
      <w:r w:rsidRPr="00C15084">
        <w:rPr>
          <w:rFonts w:ascii="Arial" w:eastAsia="Times New Roman" w:hAnsi="Arial" w:cs="Arial"/>
          <w:sz w:val="24"/>
          <w:szCs w:val="24"/>
          <w:lang w:val="en-US"/>
        </w:rPr>
        <w:t xml:space="preserve">The side effects of each drug </w:t>
      </w:r>
    </w:p>
    <w:p w14:paraId="253A8CB5" w14:textId="77777777" w:rsidR="004C666B" w:rsidRPr="00C15084" w:rsidRDefault="00492079" w:rsidP="007B1B86">
      <w:pPr>
        <w:widowControl w:val="0"/>
        <w:numPr>
          <w:ilvl w:val="1"/>
          <w:numId w:val="6"/>
        </w:numPr>
        <w:spacing w:before="120" w:after="120" w:line="240" w:lineRule="auto"/>
        <w:ind w:left="1443"/>
        <w:jc w:val="both"/>
        <w:rPr>
          <w:rFonts w:ascii="Arial" w:eastAsia="Times New Roman" w:hAnsi="Arial" w:cs="Arial"/>
          <w:sz w:val="24"/>
          <w:szCs w:val="24"/>
          <w:lang w:val="en-US"/>
        </w:rPr>
      </w:pPr>
      <w:r w:rsidRPr="00C15084">
        <w:rPr>
          <w:rFonts w:ascii="Arial" w:eastAsia="Times New Roman" w:hAnsi="Arial" w:cs="Arial"/>
          <w:sz w:val="24"/>
          <w:szCs w:val="24"/>
          <w:lang w:val="en-US"/>
        </w:rPr>
        <w:t>Factors that might make it difficult for the pers</w:t>
      </w:r>
      <w:r w:rsidR="004C666B" w:rsidRPr="00C15084">
        <w:rPr>
          <w:rFonts w:ascii="Arial" w:eastAsia="Times New Roman" w:hAnsi="Arial" w:cs="Arial"/>
          <w:sz w:val="24"/>
          <w:szCs w:val="24"/>
          <w:lang w:val="en-US"/>
        </w:rPr>
        <w:t>on to take the medicine at the right time (for example, if it is difficult to take a dose during school hours</w:t>
      </w:r>
      <w:r w:rsidR="007D6AF8" w:rsidRPr="00C15084">
        <w:rPr>
          <w:rFonts w:ascii="Arial" w:eastAsia="Times New Roman" w:hAnsi="Arial" w:cs="Arial"/>
          <w:sz w:val="24"/>
          <w:szCs w:val="24"/>
          <w:lang w:val="en-US"/>
        </w:rPr>
        <w:t>, stigma</w:t>
      </w:r>
      <w:r w:rsidR="004C666B" w:rsidRPr="00C15084">
        <w:rPr>
          <w:rFonts w:ascii="Arial" w:eastAsia="Times New Roman" w:hAnsi="Arial" w:cs="Arial"/>
          <w:sz w:val="24"/>
          <w:szCs w:val="24"/>
          <w:lang w:val="en-US"/>
        </w:rPr>
        <w:t xml:space="preserve">) </w:t>
      </w:r>
    </w:p>
    <w:p w14:paraId="5234C376" w14:textId="27CB3037" w:rsidR="004C666B" w:rsidRPr="00C15084" w:rsidRDefault="00492079" w:rsidP="007B1B86">
      <w:pPr>
        <w:widowControl w:val="0"/>
        <w:numPr>
          <w:ilvl w:val="1"/>
          <w:numId w:val="6"/>
        </w:numPr>
        <w:spacing w:before="120" w:after="120" w:line="240" w:lineRule="auto"/>
        <w:ind w:left="1443"/>
        <w:jc w:val="both"/>
        <w:rPr>
          <w:rFonts w:ascii="Arial" w:eastAsia="Times New Roman" w:hAnsi="Arial" w:cs="Arial"/>
          <w:sz w:val="24"/>
          <w:szCs w:val="24"/>
          <w:lang w:val="en-US"/>
        </w:rPr>
      </w:pPr>
      <w:r w:rsidRPr="00C15084">
        <w:rPr>
          <w:rFonts w:ascii="Arial" w:eastAsia="Times New Roman" w:hAnsi="Arial" w:cs="Arial"/>
          <w:sz w:val="24"/>
          <w:szCs w:val="24"/>
          <w:lang w:val="en-US"/>
        </w:rPr>
        <w:t xml:space="preserve">The possibility that the medicine might be </w:t>
      </w:r>
      <w:r w:rsidR="002F75D0" w:rsidRPr="00C15084">
        <w:rPr>
          <w:rFonts w:ascii="Arial" w:eastAsia="Times New Roman" w:hAnsi="Arial" w:cs="Arial"/>
          <w:sz w:val="24"/>
          <w:szCs w:val="24"/>
          <w:lang w:val="en-US"/>
        </w:rPr>
        <w:t>misused or</w:t>
      </w:r>
      <w:r w:rsidRPr="00C15084">
        <w:rPr>
          <w:rFonts w:ascii="Arial" w:eastAsia="Times New Roman" w:hAnsi="Arial" w:cs="Arial"/>
          <w:sz w:val="24"/>
          <w:szCs w:val="24"/>
          <w:lang w:val="en-US"/>
        </w:rPr>
        <w:t xml:space="preserve"> passed on to another person for </w:t>
      </w:r>
      <w:r w:rsidR="002F75D0" w:rsidRPr="00C15084">
        <w:rPr>
          <w:rFonts w:ascii="Arial" w:eastAsia="Times New Roman" w:hAnsi="Arial" w:cs="Arial"/>
          <w:sz w:val="24"/>
          <w:szCs w:val="24"/>
          <w:lang w:val="en-US"/>
        </w:rPr>
        <w:t>misuse.</w:t>
      </w:r>
      <w:r w:rsidRPr="00C15084">
        <w:rPr>
          <w:rFonts w:ascii="Arial" w:eastAsia="Times New Roman" w:hAnsi="Arial" w:cs="Arial"/>
          <w:sz w:val="24"/>
          <w:szCs w:val="24"/>
          <w:lang w:val="en-US"/>
        </w:rPr>
        <w:t xml:space="preserve"> </w:t>
      </w:r>
    </w:p>
    <w:p w14:paraId="4D3B5930" w14:textId="77777777" w:rsidR="004C666B" w:rsidRPr="00C15084" w:rsidRDefault="00492079" w:rsidP="007B1B86">
      <w:pPr>
        <w:widowControl w:val="0"/>
        <w:numPr>
          <w:ilvl w:val="1"/>
          <w:numId w:val="6"/>
        </w:numPr>
        <w:spacing w:before="120" w:after="120" w:line="240" w:lineRule="auto"/>
        <w:ind w:left="1443"/>
        <w:jc w:val="both"/>
        <w:rPr>
          <w:rFonts w:ascii="Arial" w:eastAsia="Times New Roman" w:hAnsi="Arial" w:cs="Arial"/>
          <w:sz w:val="24"/>
          <w:szCs w:val="24"/>
          <w:lang w:val="en-US"/>
        </w:rPr>
      </w:pPr>
      <w:r w:rsidRPr="00C15084">
        <w:rPr>
          <w:rFonts w:ascii="Arial" w:eastAsia="Times New Roman" w:hAnsi="Arial" w:cs="Arial"/>
          <w:sz w:val="24"/>
          <w:szCs w:val="24"/>
          <w:lang w:val="en-US"/>
        </w:rPr>
        <w:t>The individual preference of the child or</w:t>
      </w:r>
      <w:r w:rsidR="004C666B" w:rsidRPr="00C15084">
        <w:rPr>
          <w:rFonts w:ascii="Arial" w:eastAsia="Times New Roman" w:hAnsi="Arial" w:cs="Arial"/>
          <w:sz w:val="24"/>
          <w:szCs w:val="24"/>
          <w:lang w:val="en-US"/>
        </w:rPr>
        <w:t xml:space="preserve"> adolescent and/or their family or carer.</w:t>
      </w:r>
    </w:p>
    <w:p w14:paraId="78D95FAD" w14:textId="77777777" w:rsidR="00F4075C" w:rsidRPr="00C15084" w:rsidRDefault="00F4075C" w:rsidP="007B1B86">
      <w:pPr>
        <w:widowControl w:val="0"/>
        <w:numPr>
          <w:ilvl w:val="1"/>
          <w:numId w:val="6"/>
        </w:numPr>
        <w:spacing w:before="120" w:after="120" w:line="240" w:lineRule="auto"/>
        <w:ind w:left="1443"/>
        <w:jc w:val="both"/>
        <w:rPr>
          <w:rFonts w:ascii="Arial" w:eastAsia="Times New Roman" w:hAnsi="Arial" w:cs="Arial"/>
          <w:sz w:val="24"/>
          <w:szCs w:val="24"/>
          <w:lang w:val="en-US"/>
        </w:rPr>
      </w:pPr>
      <w:r w:rsidRPr="00C15084">
        <w:rPr>
          <w:rFonts w:ascii="Arial" w:eastAsia="Times New Roman" w:hAnsi="Arial" w:cs="Arial"/>
          <w:sz w:val="24"/>
          <w:szCs w:val="24"/>
          <w:lang w:val="en-US"/>
        </w:rPr>
        <w:t xml:space="preserve">Whether the child </w:t>
      </w:r>
      <w:proofErr w:type="gramStart"/>
      <w:r w:rsidRPr="00C15084">
        <w:rPr>
          <w:rFonts w:ascii="Arial" w:eastAsia="Times New Roman" w:hAnsi="Arial" w:cs="Arial"/>
          <w:sz w:val="24"/>
          <w:szCs w:val="24"/>
          <w:lang w:val="en-US"/>
        </w:rPr>
        <w:t>is able to</w:t>
      </w:r>
      <w:proofErr w:type="gramEnd"/>
      <w:r w:rsidRPr="00C15084">
        <w:rPr>
          <w:rFonts w:ascii="Arial" w:eastAsia="Times New Roman" w:hAnsi="Arial" w:cs="Arial"/>
          <w:sz w:val="24"/>
          <w:szCs w:val="24"/>
          <w:lang w:val="en-US"/>
        </w:rPr>
        <w:t xml:space="preserve"> swallow tablets/capsules.</w:t>
      </w:r>
    </w:p>
    <w:p w14:paraId="46385680" w14:textId="77777777" w:rsidR="007D6AF8" w:rsidRPr="00C15084" w:rsidRDefault="007D6AF8" w:rsidP="007B1B86">
      <w:pPr>
        <w:widowControl w:val="0"/>
        <w:numPr>
          <w:ilvl w:val="1"/>
          <w:numId w:val="6"/>
        </w:numPr>
        <w:spacing w:before="120" w:after="120" w:line="240" w:lineRule="auto"/>
        <w:ind w:left="1443"/>
        <w:jc w:val="both"/>
        <w:rPr>
          <w:rFonts w:ascii="Arial" w:eastAsia="Times New Roman" w:hAnsi="Arial" w:cs="Arial"/>
          <w:sz w:val="24"/>
          <w:szCs w:val="24"/>
          <w:lang w:val="en-US"/>
        </w:rPr>
      </w:pPr>
      <w:r w:rsidRPr="00C15084">
        <w:rPr>
          <w:rFonts w:ascii="Arial" w:eastAsia="Times New Roman" w:hAnsi="Arial" w:cs="Arial"/>
          <w:sz w:val="24"/>
          <w:szCs w:val="24"/>
          <w:lang w:val="en-US"/>
        </w:rPr>
        <w:t>Pharmacokinetic profile</w:t>
      </w:r>
    </w:p>
    <w:p w14:paraId="7A5B40A4" w14:textId="77777777" w:rsidR="004C666B" w:rsidRPr="00C15084" w:rsidRDefault="004C666B" w:rsidP="007B1B86">
      <w:pPr>
        <w:widowControl w:val="0"/>
        <w:numPr>
          <w:ilvl w:val="0"/>
          <w:numId w:val="8"/>
        </w:numPr>
        <w:spacing w:before="120" w:after="120" w:line="240" w:lineRule="auto"/>
        <w:ind w:left="1077" w:hanging="357"/>
        <w:rPr>
          <w:rFonts w:ascii="Arial" w:eastAsia="Times New Roman" w:hAnsi="Arial" w:cs="Arial"/>
          <w:sz w:val="24"/>
          <w:szCs w:val="24"/>
          <w:lang w:val="en-US"/>
        </w:rPr>
      </w:pPr>
      <w:r w:rsidRPr="00C15084">
        <w:rPr>
          <w:rFonts w:ascii="Arial" w:eastAsia="Times New Roman" w:hAnsi="Arial" w:cs="Arial"/>
          <w:sz w:val="24"/>
          <w:szCs w:val="24"/>
          <w:lang w:val="en-US"/>
        </w:rPr>
        <w:t xml:space="preserve">Where more than one of the medicines </w:t>
      </w:r>
      <w:proofErr w:type="gramStart"/>
      <w:r w:rsidRPr="00C15084">
        <w:rPr>
          <w:rFonts w:ascii="Arial" w:eastAsia="Times New Roman" w:hAnsi="Arial" w:cs="Arial"/>
          <w:sz w:val="24"/>
          <w:szCs w:val="24"/>
          <w:lang w:val="en-US"/>
        </w:rPr>
        <w:t>is considered to be</w:t>
      </w:r>
      <w:proofErr w:type="gramEnd"/>
      <w:r w:rsidRPr="00C15084">
        <w:rPr>
          <w:rFonts w:ascii="Arial" w:eastAsia="Times New Roman" w:hAnsi="Arial" w:cs="Arial"/>
          <w:sz w:val="24"/>
          <w:szCs w:val="24"/>
          <w:lang w:val="en-US"/>
        </w:rPr>
        <w:t xml:space="preserve"> appropriate for a child or adolescent, their doctor should choose the cheapest one.</w:t>
      </w:r>
    </w:p>
    <w:p w14:paraId="3B6E92A4" w14:textId="58CE5443" w:rsidR="000E0C2E" w:rsidRPr="0059026A" w:rsidRDefault="004C666B" w:rsidP="007B1B86">
      <w:pPr>
        <w:widowControl w:val="0"/>
        <w:numPr>
          <w:ilvl w:val="0"/>
          <w:numId w:val="8"/>
        </w:numPr>
        <w:spacing w:before="120" w:after="120" w:line="240" w:lineRule="auto"/>
        <w:ind w:left="1077" w:hanging="357"/>
        <w:rPr>
          <w:rFonts w:ascii="Arial" w:hAnsi="Arial" w:cs="Arial"/>
          <w:b/>
          <w:bCs/>
          <w:sz w:val="24"/>
          <w:szCs w:val="24"/>
        </w:rPr>
      </w:pPr>
      <w:r w:rsidRPr="0059026A">
        <w:rPr>
          <w:rFonts w:ascii="Arial" w:eastAsia="Times New Roman" w:hAnsi="Arial" w:cs="Arial"/>
          <w:color w:val="000000" w:themeColor="text1"/>
          <w:sz w:val="24"/>
          <w:szCs w:val="24"/>
          <w:lang w:val="en-US"/>
        </w:rPr>
        <w:t xml:space="preserve">Treatment with methylphenidate, atomoxetine or </w:t>
      </w:r>
      <w:proofErr w:type="spellStart"/>
      <w:r w:rsidRPr="0059026A">
        <w:rPr>
          <w:rFonts w:ascii="Arial" w:eastAsia="Times New Roman" w:hAnsi="Arial" w:cs="Arial"/>
          <w:color w:val="000000" w:themeColor="text1"/>
          <w:sz w:val="24"/>
          <w:szCs w:val="24"/>
          <w:lang w:val="en-US"/>
        </w:rPr>
        <w:t>dexamfetamine</w:t>
      </w:r>
      <w:proofErr w:type="spellEnd"/>
      <w:r w:rsidR="00E5558F" w:rsidRPr="0059026A">
        <w:rPr>
          <w:rFonts w:ascii="Arial" w:eastAsia="Times New Roman" w:hAnsi="Arial" w:cs="Arial"/>
          <w:color w:val="000000" w:themeColor="text1"/>
          <w:sz w:val="24"/>
          <w:szCs w:val="24"/>
          <w:lang w:val="en-US"/>
        </w:rPr>
        <w:t xml:space="preserve">, </w:t>
      </w:r>
      <w:proofErr w:type="spellStart"/>
      <w:r w:rsidR="00E5558F" w:rsidRPr="0059026A">
        <w:rPr>
          <w:rFonts w:ascii="Arial" w:eastAsia="Times New Roman" w:hAnsi="Arial" w:cs="Arial"/>
          <w:color w:val="000000" w:themeColor="text1"/>
          <w:sz w:val="24"/>
          <w:szCs w:val="24"/>
          <w:lang w:val="en-US"/>
        </w:rPr>
        <w:t>Lisdexamfetamine</w:t>
      </w:r>
      <w:proofErr w:type="spellEnd"/>
      <w:r w:rsidR="00E5558F" w:rsidRPr="0059026A">
        <w:rPr>
          <w:rFonts w:ascii="Arial" w:eastAsia="Times New Roman" w:hAnsi="Arial" w:cs="Arial"/>
          <w:color w:val="000000" w:themeColor="text1"/>
          <w:sz w:val="24"/>
          <w:szCs w:val="24"/>
          <w:lang w:val="en-US"/>
        </w:rPr>
        <w:t xml:space="preserve"> or guanfacine </w:t>
      </w:r>
      <w:r w:rsidRPr="0059026A">
        <w:rPr>
          <w:rFonts w:ascii="Arial" w:eastAsia="Times New Roman" w:hAnsi="Arial" w:cs="Arial"/>
          <w:color w:val="000000" w:themeColor="text1"/>
          <w:sz w:val="24"/>
          <w:szCs w:val="24"/>
          <w:lang w:val="en-US"/>
        </w:rPr>
        <w:t>should only be started after a specialist who is an expert in ADHD has thoroughly assessed the child or adolescent and confirmed the diagnosis. Once treatment has been started it can be continued and monitored by a GP</w:t>
      </w:r>
      <w:r w:rsidR="00BC735E" w:rsidRPr="0059026A">
        <w:rPr>
          <w:rFonts w:ascii="Arial" w:eastAsia="Times New Roman" w:hAnsi="Arial" w:cs="Arial"/>
          <w:color w:val="000000" w:themeColor="text1"/>
          <w:sz w:val="24"/>
          <w:szCs w:val="24"/>
          <w:lang w:val="en-US"/>
        </w:rPr>
        <w:t>.</w:t>
      </w:r>
      <w:r w:rsidR="0059026A" w:rsidRPr="0059026A">
        <w:rPr>
          <w:rFonts w:ascii="Arial" w:eastAsia="Times New Roman" w:hAnsi="Arial" w:cs="Arial"/>
          <w:color w:val="000000" w:themeColor="text1"/>
          <w:sz w:val="24"/>
          <w:szCs w:val="24"/>
          <w:lang w:val="en-US"/>
        </w:rPr>
        <w:t xml:space="preserve"> GP’s do not monitor the treatment especially in children and young </w:t>
      </w:r>
      <w:r w:rsidR="007B1B86" w:rsidRPr="0059026A">
        <w:rPr>
          <w:rFonts w:ascii="Arial" w:eastAsia="Times New Roman" w:hAnsi="Arial" w:cs="Arial"/>
          <w:color w:val="000000" w:themeColor="text1"/>
          <w:sz w:val="24"/>
          <w:szCs w:val="24"/>
          <w:lang w:val="en-US"/>
        </w:rPr>
        <w:t>people with</w:t>
      </w:r>
      <w:r w:rsidR="0059026A" w:rsidRPr="0059026A">
        <w:rPr>
          <w:rFonts w:ascii="Arial" w:eastAsia="Times New Roman" w:hAnsi="Arial" w:cs="Arial"/>
          <w:color w:val="000000" w:themeColor="text1"/>
          <w:sz w:val="24"/>
          <w:szCs w:val="24"/>
          <w:lang w:val="en-US"/>
        </w:rPr>
        <w:t xml:space="preserve"> a learning disability who may </w:t>
      </w:r>
      <w:r w:rsidR="007B1B86" w:rsidRPr="0059026A">
        <w:rPr>
          <w:rFonts w:ascii="Arial" w:eastAsia="Times New Roman" w:hAnsi="Arial" w:cs="Arial"/>
          <w:color w:val="000000" w:themeColor="text1"/>
          <w:sz w:val="24"/>
          <w:szCs w:val="24"/>
          <w:lang w:val="en-US"/>
        </w:rPr>
        <w:t>require a</w:t>
      </w:r>
      <w:r w:rsidR="0059026A" w:rsidRPr="0059026A">
        <w:rPr>
          <w:rFonts w:ascii="Arial" w:eastAsia="Times New Roman" w:hAnsi="Arial" w:cs="Arial"/>
          <w:color w:val="000000" w:themeColor="text1"/>
          <w:sz w:val="24"/>
          <w:szCs w:val="24"/>
          <w:lang w:val="en-US"/>
        </w:rPr>
        <w:t xml:space="preserve"> higher level of support in having their observations taken in the school environment with a person from the RDASH team with whom they are familiar.  This avoids/reduces emotional distress and potential white coat syndrome.</w:t>
      </w:r>
      <w:r w:rsidR="001D5E08">
        <w:rPr>
          <w:rFonts w:ascii="Arial" w:eastAsia="Times New Roman" w:hAnsi="Arial" w:cs="Arial"/>
          <w:color w:val="000000" w:themeColor="text1"/>
          <w:sz w:val="24"/>
          <w:szCs w:val="24"/>
          <w:lang w:val="en-US"/>
        </w:rPr>
        <w:t xml:space="preserve"> Monitoring maybe carried out</w:t>
      </w:r>
      <w:r w:rsidR="003803E4">
        <w:rPr>
          <w:rFonts w:ascii="Arial" w:eastAsia="Times New Roman" w:hAnsi="Arial" w:cs="Arial"/>
          <w:color w:val="000000" w:themeColor="text1"/>
          <w:sz w:val="24"/>
          <w:szCs w:val="24"/>
          <w:lang w:val="en-US"/>
        </w:rPr>
        <w:t xml:space="preserve"> by third parties with agreement of RDASH, who must assure themselves of the appropriateness</w:t>
      </w:r>
      <w:r w:rsidR="00BC735E" w:rsidRPr="0059026A">
        <w:rPr>
          <w:rFonts w:ascii="Arial" w:eastAsia="Times New Roman" w:hAnsi="Arial" w:cs="Arial"/>
          <w:color w:val="000000" w:themeColor="text1"/>
          <w:sz w:val="24"/>
          <w:szCs w:val="24"/>
          <w:lang w:val="en-US"/>
        </w:rPr>
        <w:t xml:space="preserve"> </w:t>
      </w:r>
      <w:r w:rsidR="000E0C2E" w:rsidRPr="0059026A">
        <w:rPr>
          <w:rFonts w:ascii="Arial" w:hAnsi="Arial" w:cs="Arial"/>
          <w:b/>
          <w:bCs/>
          <w:sz w:val="24"/>
          <w:szCs w:val="24"/>
        </w:rPr>
        <w:t xml:space="preserve">Review of medication and </w:t>
      </w:r>
      <w:r w:rsidR="007B1B86" w:rsidRPr="0059026A">
        <w:rPr>
          <w:rFonts w:ascii="Arial" w:hAnsi="Arial" w:cs="Arial"/>
          <w:b/>
          <w:bCs/>
          <w:sz w:val="24"/>
          <w:szCs w:val="24"/>
        </w:rPr>
        <w:t>discontinuation.</w:t>
      </w:r>
    </w:p>
    <w:p w14:paraId="1BFC83A2" w14:textId="77777777" w:rsidR="000E0C2E" w:rsidRPr="00C15084" w:rsidRDefault="000E0C2E" w:rsidP="007B1B86">
      <w:pPr>
        <w:spacing w:before="120" w:after="120" w:line="240" w:lineRule="auto"/>
        <w:ind w:left="360"/>
        <w:rPr>
          <w:rFonts w:ascii="Arial" w:hAnsi="Arial" w:cs="Arial"/>
          <w:sz w:val="24"/>
          <w:szCs w:val="24"/>
        </w:rPr>
      </w:pPr>
      <w:r w:rsidRPr="00C15084">
        <w:rPr>
          <w:rFonts w:ascii="Arial" w:hAnsi="Arial" w:cs="Arial"/>
          <w:sz w:val="24"/>
          <w:szCs w:val="24"/>
        </w:rPr>
        <w:t>A healthcare professional with training and expertise in managing ADHD should review ADHD medication at least once a year and discuss with the person with ADHD (and their families and carers as appropriate) whether medication should be continued. The review should include a comprehensive assessment of the:</w:t>
      </w:r>
    </w:p>
    <w:p w14:paraId="4152A077" w14:textId="32279DE5" w:rsidR="000E0C2E" w:rsidRPr="00C15084" w:rsidRDefault="00492079" w:rsidP="007B1B86">
      <w:pPr>
        <w:pStyle w:val="ListParagraph"/>
        <w:numPr>
          <w:ilvl w:val="0"/>
          <w:numId w:val="31"/>
        </w:numPr>
        <w:spacing w:before="120" w:after="120" w:line="240" w:lineRule="auto"/>
        <w:ind w:left="1077" w:hanging="357"/>
        <w:contextualSpacing w:val="0"/>
        <w:rPr>
          <w:rFonts w:ascii="Arial" w:hAnsi="Arial" w:cs="Arial"/>
          <w:sz w:val="24"/>
          <w:szCs w:val="24"/>
        </w:rPr>
      </w:pPr>
      <w:r w:rsidRPr="00C15084">
        <w:rPr>
          <w:rFonts w:ascii="Arial" w:hAnsi="Arial" w:cs="Arial"/>
          <w:sz w:val="24"/>
          <w:szCs w:val="24"/>
        </w:rPr>
        <w:t xml:space="preserve">Preference </w:t>
      </w:r>
      <w:r w:rsidR="000E0C2E" w:rsidRPr="00C15084">
        <w:rPr>
          <w:rFonts w:ascii="Arial" w:hAnsi="Arial" w:cs="Arial"/>
          <w:sz w:val="24"/>
          <w:szCs w:val="24"/>
        </w:rPr>
        <w:t xml:space="preserve">of the child, young </w:t>
      </w:r>
      <w:r w:rsidR="002F75D0" w:rsidRPr="00C15084">
        <w:rPr>
          <w:rFonts w:ascii="Arial" w:hAnsi="Arial" w:cs="Arial"/>
          <w:sz w:val="24"/>
          <w:szCs w:val="24"/>
        </w:rPr>
        <w:t>person,</w:t>
      </w:r>
      <w:r w:rsidR="000E0C2E" w:rsidRPr="00C15084">
        <w:rPr>
          <w:rFonts w:ascii="Arial" w:hAnsi="Arial" w:cs="Arial"/>
          <w:sz w:val="24"/>
          <w:szCs w:val="24"/>
        </w:rPr>
        <w:t xml:space="preserve"> or adult with ADHD (and their family or carers as appropriate)</w:t>
      </w:r>
    </w:p>
    <w:p w14:paraId="19E2BB11" w14:textId="0892F46F" w:rsidR="000E0C2E" w:rsidRPr="00C15084" w:rsidRDefault="00492079" w:rsidP="007B1B86">
      <w:pPr>
        <w:pStyle w:val="ListParagraph"/>
        <w:numPr>
          <w:ilvl w:val="0"/>
          <w:numId w:val="31"/>
        </w:numPr>
        <w:spacing w:before="120" w:after="120" w:line="240" w:lineRule="auto"/>
        <w:ind w:left="1077" w:hanging="357"/>
        <w:contextualSpacing w:val="0"/>
        <w:rPr>
          <w:rFonts w:ascii="Arial" w:hAnsi="Arial" w:cs="Arial"/>
          <w:sz w:val="24"/>
          <w:szCs w:val="24"/>
        </w:rPr>
      </w:pPr>
      <w:r w:rsidRPr="00C15084">
        <w:rPr>
          <w:rFonts w:ascii="Arial" w:hAnsi="Arial" w:cs="Arial"/>
          <w:sz w:val="24"/>
          <w:szCs w:val="24"/>
        </w:rPr>
        <w:t>Benefits</w:t>
      </w:r>
      <w:r w:rsidR="000E0C2E" w:rsidRPr="00C15084">
        <w:rPr>
          <w:rFonts w:ascii="Arial" w:hAnsi="Arial" w:cs="Arial"/>
          <w:sz w:val="24"/>
          <w:szCs w:val="24"/>
        </w:rPr>
        <w:t xml:space="preserve">, including how well the current treatment is working throughout the </w:t>
      </w:r>
      <w:r w:rsidR="002F75D0" w:rsidRPr="00C15084">
        <w:rPr>
          <w:rFonts w:ascii="Arial" w:hAnsi="Arial" w:cs="Arial"/>
          <w:sz w:val="24"/>
          <w:szCs w:val="24"/>
        </w:rPr>
        <w:t>day.</w:t>
      </w:r>
    </w:p>
    <w:p w14:paraId="2A2F39BE" w14:textId="77777777" w:rsidR="000E0C2E" w:rsidRPr="00C15084" w:rsidRDefault="00492079" w:rsidP="007B1B86">
      <w:pPr>
        <w:pStyle w:val="ListParagraph"/>
        <w:numPr>
          <w:ilvl w:val="0"/>
          <w:numId w:val="31"/>
        </w:numPr>
        <w:spacing w:before="120" w:after="120" w:line="240" w:lineRule="auto"/>
        <w:ind w:left="1077" w:hanging="357"/>
        <w:contextualSpacing w:val="0"/>
        <w:rPr>
          <w:rFonts w:ascii="Arial" w:hAnsi="Arial" w:cs="Arial"/>
          <w:sz w:val="24"/>
          <w:szCs w:val="24"/>
        </w:rPr>
      </w:pPr>
      <w:r w:rsidRPr="00C15084">
        <w:rPr>
          <w:rFonts w:ascii="Arial" w:hAnsi="Arial" w:cs="Arial"/>
          <w:sz w:val="24"/>
          <w:szCs w:val="24"/>
        </w:rPr>
        <w:t xml:space="preserve">Adverse </w:t>
      </w:r>
      <w:r w:rsidR="000E0C2E" w:rsidRPr="00C15084">
        <w:rPr>
          <w:rFonts w:ascii="Arial" w:hAnsi="Arial" w:cs="Arial"/>
          <w:sz w:val="24"/>
          <w:szCs w:val="24"/>
        </w:rPr>
        <w:t>effects</w:t>
      </w:r>
    </w:p>
    <w:p w14:paraId="70C6FB32" w14:textId="77777777" w:rsidR="000E0C2E" w:rsidRPr="00C15084" w:rsidRDefault="00492079" w:rsidP="007B1B86">
      <w:pPr>
        <w:pStyle w:val="ListParagraph"/>
        <w:numPr>
          <w:ilvl w:val="0"/>
          <w:numId w:val="31"/>
        </w:numPr>
        <w:spacing w:before="120" w:after="120" w:line="240" w:lineRule="auto"/>
        <w:ind w:left="1077" w:hanging="357"/>
        <w:contextualSpacing w:val="0"/>
        <w:rPr>
          <w:rFonts w:ascii="Arial" w:hAnsi="Arial" w:cs="Arial"/>
          <w:sz w:val="24"/>
          <w:szCs w:val="24"/>
        </w:rPr>
      </w:pPr>
      <w:r w:rsidRPr="00C15084">
        <w:rPr>
          <w:rFonts w:ascii="Arial" w:hAnsi="Arial" w:cs="Arial"/>
          <w:sz w:val="24"/>
          <w:szCs w:val="24"/>
        </w:rPr>
        <w:lastRenderedPageBreak/>
        <w:t xml:space="preserve">Clinical </w:t>
      </w:r>
      <w:r w:rsidR="000E0C2E" w:rsidRPr="00C15084">
        <w:rPr>
          <w:rFonts w:ascii="Arial" w:hAnsi="Arial" w:cs="Arial"/>
          <w:sz w:val="24"/>
          <w:szCs w:val="24"/>
        </w:rPr>
        <w:t xml:space="preserve">need and whether medication </w:t>
      </w:r>
      <w:proofErr w:type="gramStart"/>
      <w:r w:rsidR="000E0C2E" w:rsidRPr="00C15084">
        <w:rPr>
          <w:rFonts w:ascii="Arial" w:hAnsi="Arial" w:cs="Arial"/>
          <w:sz w:val="24"/>
          <w:szCs w:val="24"/>
        </w:rPr>
        <w:t>has</w:t>
      </w:r>
      <w:proofErr w:type="gramEnd"/>
      <w:r w:rsidR="000E0C2E" w:rsidRPr="00C15084">
        <w:rPr>
          <w:rFonts w:ascii="Arial" w:hAnsi="Arial" w:cs="Arial"/>
          <w:sz w:val="24"/>
          <w:szCs w:val="24"/>
        </w:rPr>
        <w:t xml:space="preserve"> been optimised</w:t>
      </w:r>
    </w:p>
    <w:p w14:paraId="1C9FB0D1" w14:textId="77777777" w:rsidR="000E0C2E" w:rsidRPr="00C15084" w:rsidRDefault="00492079" w:rsidP="007B1B86">
      <w:pPr>
        <w:pStyle w:val="ListParagraph"/>
        <w:numPr>
          <w:ilvl w:val="0"/>
          <w:numId w:val="31"/>
        </w:numPr>
        <w:spacing w:before="120" w:after="120" w:line="240" w:lineRule="auto"/>
        <w:ind w:left="1077" w:hanging="357"/>
        <w:contextualSpacing w:val="0"/>
        <w:rPr>
          <w:rFonts w:ascii="Arial" w:hAnsi="Arial" w:cs="Arial"/>
          <w:sz w:val="24"/>
          <w:szCs w:val="24"/>
        </w:rPr>
      </w:pPr>
      <w:r w:rsidRPr="00C15084">
        <w:rPr>
          <w:rFonts w:ascii="Arial" w:hAnsi="Arial" w:cs="Arial"/>
          <w:sz w:val="24"/>
          <w:szCs w:val="24"/>
        </w:rPr>
        <w:t xml:space="preserve">Impact </w:t>
      </w:r>
      <w:r w:rsidR="000E0C2E" w:rsidRPr="00C15084">
        <w:rPr>
          <w:rFonts w:ascii="Arial" w:hAnsi="Arial" w:cs="Arial"/>
          <w:sz w:val="24"/>
          <w:szCs w:val="24"/>
        </w:rPr>
        <w:t>on education and employment</w:t>
      </w:r>
    </w:p>
    <w:p w14:paraId="354EFAF2" w14:textId="2FDEF1A6" w:rsidR="000E0C2E" w:rsidRPr="00C15084" w:rsidRDefault="002F75D0" w:rsidP="007B1B86">
      <w:pPr>
        <w:pStyle w:val="ListParagraph"/>
        <w:numPr>
          <w:ilvl w:val="0"/>
          <w:numId w:val="31"/>
        </w:numPr>
        <w:spacing w:before="120" w:after="120" w:line="240" w:lineRule="auto"/>
        <w:ind w:left="1077" w:hanging="357"/>
        <w:contextualSpacing w:val="0"/>
        <w:rPr>
          <w:rFonts w:ascii="Arial" w:hAnsi="Arial" w:cs="Arial"/>
          <w:sz w:val="24"/>
          <w:szCs w:val="24"/>
        </w:rPr>
      </w:pPr>
      <w:r w:rsidRPr="00C15084">
        <w:rPr>
          <w:rFonts w:ascii="Arial" w:hAnsi="Arial" w:cs="Arial"/>
          <w:sz w:val="24"/>
          <w:szCs w:val="24"/>
        </w:rPr>
        <w:t>Effects of missed doses</w:t>
      </w:r>
      <w:r w:rsidR="000E0C2E" w:rsidRPr="00C15084">
        <w:rPr>
          <w:rFonts w:ascii="Arial" w:hAnsi="Arial" w:cs="Arial"/>
          <w:sz w:val="24"/>
          <w:szCs w:val="24"/>
        </w:rPr>
        <w:t xml:space="preserve"> planned dose reductions and periods of no </w:t>
      </w:r>
      <w:r w:rsidRPr="00C15084">
        <w:rPr>
          <w:rFonts w:ascii="Arial" w:hAnsi="Arial" w:cs="Arial"/>
          <w:sz w:val="24"/>
          <w:szCs w:val="24"/>
        </w:rPr>
        <w:t>treatment.</w:t>
      </w:r>
    </w:p>
    <w:p w14:paraId="31FDF885" w14:textId="7420041F" w:rsidR="000E0C2E" w:rsidRPr="00C15084" w:rsidRDefault="00492079" w:rsidP="007B1B86">
      <w:pPr>
        <w:pStyle w:val="ListParagraph"/>
        <w:numPr>
          <w:ilvl w:val="0"/>
          <w:numId w:val="31"/>
        </w:numPr>
        <w:spacing w:before="120" w:after="120" w:line="240" w:lineRule="auto"/>
        <w:ind w:left="1077" w:hanging="357"/>
        <w:contextualSpacing w:val="0"/>
        <w:rPr>
          <w:rFonts w:ascii="Arial" w:hAnsi="Arial" w:cs="Arial"/>
          <w:sz w:val="24"/>
          <w:szCs w:val="24"/>
        </w:rPr>
      </w:pPr>
      <w:r w:rsidRPr="00C15084">
        <w:rPr>
          <w:rFonts w:ascii="Arial" w:hAnsi="Arial" w:cs="Arial"/>
          <w:sz w:val="24"/>
          <w:szCs w:val="24"/>
        </w:rPr>
        <w:t xml:space="preserve">Effect </w:t>
      </w:r>
      <w:r w:rsidR="000E0C2E" w:rsidRPr="00C15084">
        <w:rPr>
          <w:rFonts w:ascii="Arial" w:hAnsi="Arial" w:cs="Arial"/>
          <w:sz w:val="24"/>
          <w:szCs w:val="24"/>
        </w:rPr>
        <w:t xml:space="preserve">of medication on existing or new mental health, physical </w:t>
      </w:r>
      <w:r w:rsidR="002F75D0" w:rsidRPr="00C15084">
        <w:rPr>
          <w:rFonts w:ascii="Arial" w:hAnsi="Arial" w:cs="Arial"/>
          <w:sz w:val="24"/>
          <w:szCs w:val="24"/>
        </w:rPr>
        <w:t>health,</w:t>
      </w:r>
      <w:r w:rsidR="000E0C2E" w:rsidRPr="00C15084">
        <w:rPr>
          <w:rFonts w:ascii="Arial" w:hAnsi="Arial" w:cs="Arial"/>
          <w:sz w:val="24"/>
          <w:szCs w:val="24"/>
        </w:rPr>
        <w:t xml:space="preserve"> or neurodevelopmental conditions</w:t>
      </w:r>
    </w:p>
    <w:p w14:paraId="7733E1A7" w14:textId="77777777" w:rsidR="000E0C2E" w:rsidRPr="00C15084" w:rsidRDefault="00492079" w:rsidP="007B1B86">
      <w:pPr>
        <w:pStyle w:val="ListParagraph"/>
        <w:numPr>
          <w:ilvl w:val="0"/>
          <w:numId w:val="31"/>
        </w:numPr>
        <w:spacing w:before="120" w:after="120" w:line="240" w:lineRule="auto"/>
        <w:ind w:left="1077" w:hanging="357"/>
        <w:contextualSpacing w:val="0"/>
        <w:rPr>
          <w:rFonts w:ascii="Arial" w:hAnsi="Arial" w:cs="Arial"/>
          <w:sz w:val="24"/>
          <w:szCs w:val="24"/>
        </w:rPr>
      </w:pPr>
      <w:r w:rsidRPr="00C15084">
        <w:rPr>
          <w:rFonts w:ascii="Arial" w:hAnsi="Arial" w:cs="Arial"/>
          <w:sz w:val="24"/>
          <w:szCs w:val="24"/>
        </w:rPr>
        <w:t xml:space="preserve">Need </w:t>
      </w:r>
      <w:r w:rsidR="000E0C2E" w:rsidRPr="00C15084">
        <w:rPr>
          <w:rFonts w:ascii="Arial" w:hAnsi="Arial" w:cs="Arial"/>
          <w:sz w:val="24"/>
          <w:szCs w:val="24"/>
        </w:rPr>
        <w:t>for support and type of support (for example, psychological, educational, social) if medication has been optimised but ADHD symptoms continue to cause a significant impairment.</w:t>
      </w:r>
    </w:p>
    <w:p w14:paraId="1C64AD9E" w14:textId="77777777" w:rsidR="000E0C2E" w:rsidRPr="00C15084" w:rsidRDefault="000E0C2E" w:rsidP="007B1B86">
      <w:pPr>
        <w:spacing w:before="120" w:after="120" w:line="240" w:lineRule="auto"/>
        <w:ind w:left="360"/>
        <w:rPr>
          <w:rFonts w:ascii="Arial" w:hAnsi="Arial" w:cs="Arial"/>
          <w:sz w:val="24"/>
          <w:szCs w:val="24"/>
        </w:rPr>
      </w:pPr>
      <w:r w:rsidRPr="00C15084">
        <w:rPr>
          <w:rFonts w:ascii="Arial" w:hAnsi="Arial" w:cs="Arial"/>
          <w:sz w:val="24"/>
          <w:szCs w:val="24"/>
        </w:rPr>
        <w:t xml:space="preserve">Encourage people with ADHD to discuss any preferences to stop or change medication and to be involved in any decisions about stopping treatments. </w:t>
      </w:r>
    </w:p>
    <w:p w14:paraId="5D655A3E" w14:textId="77777777" w:rsidR="000E0C2E" w:rsidRPr="00C15084" w:rsidRDefault="000E0C2E" w:rsidP="007B1B86">
      <w:pPr>
        <w:spacing w:before="120" w:after="120" w:line="240" w:lineRule="auto"/>
        <w:ind w:left="360"/>
        <w:rPr>
          <w:rFonts w:ascii="Arial" w:hAnsi="Arial" w:cs="Arial"/>
          <w:sz w:val="24"/>
          <w:szCs w:val="24"/>
        </w:rPr>
      </w:pPr>
      <w:r w:rsidRPr="00C15084">
        <w:rPr>
          <w:rFonts w:ascii="Arial" w:hAnsi="Arial" w:cs="Arial"/>
          <w:sz w:val="24"/>
          <w:szCs w:val="24"/>
        </w:rPr>
        <w:t>Consider trial periods of stopping medication or reducing the dose when assessment of the overall balance of benefits and harms suggests this may be appropriate. If the decision is made to continue medication, the reasons for this should be documented.</w:t>
      </w:r>
    </w:p>
    <w:p w14:paraId="1443E02E" w14:textId="77777777" w:rsidR="004C666B" w:rsidRPr="00C15084" w:rsidRDefault="004C666B" w:rsidP="007B1B86">
      <w:pPr>
        <w:pStyle w:val="Heading2"/>
        <w:spacing w:before="120" w:after="120" w:line="240" w:lineRule="auto"/>
        <w:ind w:left="363"/>
        <w:rPr>
          <w:rFonts w:ascii="Arial" w:eastAsiaTheme="minorEastAsia" w:hAnsi="Arial" w:cs="Arial"/>
          <w:noProof/>
          <w:color w:val="auto"/>
          <w:sz w:val="24"/>
          <w:szCs w:val="24"/>
          <w:lang w:val="en-US" w:eastAsia="zh-CN"/>
        </w:rPr>
      </w:pPr>
      <w:r w:rsidRPr="00C15084">
        <w:rPr>
          <w:rFonts w:ascii="Arial" w:eastAsiaTheme="minorEastAsia" w:hAnsi="Arial" w:cs="Arial"/>
          <w:noProof/>
          <w:color w:val="auto"/>
          <w:sz w:val="24"/>
          <w:szCs w:val="24"/>
          <w:lang w:val="en-US" w:eastAsia="zh-CN"/>
        </w:rPr>
        <w:t>Adults</w:t>
      </w:r>
    </w:p>
    <w:p w14:paraId="0AFC0E85" w14:textId="77777777" w:rsidR="004C666B" w:rsidRPr="00C15084" w:rsidRDefault="004C666B" w:rsidP="007B1B86">
      <w:pPr>
        <w:pStyle w:val="NoSpacing"/>
        <w:numPr>
          <w:ilvl w:val="0"/>
          <w:numId w:val="32"/>
        </w:numPr>
        <w:spacing w:before="120" w:after="120"/>
        <w:ind w:left="1080"/>
        <w:rPr>
          <w:rFonts w:ascii="Arial" w:hAnsi="Arial" w:cs="Arial"/>
          <w:sz w:val="24"/>
          <w:lang w:val="en-US" w:eastAsia="zh-CN"/>
        </w:rPr>
      </w:pPr>
      <w:r w:rsidRPr="00C15084">
        <w:rPr>
          <w:rFonts w:ascii="Arial" w:hAnsi="Arial" w:cs="Arial"/>
          <w:noProof/>
          <w:sz w:val="24"/>
          <w:lang w:val="en-US" w:eastAsia="zh-CN"/>
        </w:rPr>
        <w:t>Young people continuing treatment into adulthood should be assessed to establish the need for continuing pharmacological treatment into adulthood.</w:t>
      </w:r>
    </w:p>
    <w:p w14:paraId="02C5B493" w14:textId="77777777" w:rsidR="004C666B" w:rsidRPr="00C15084" w:rsidRDefault="004C666B" w:rsidP="007B1B86">
      <w:pPr>
        <w:pStyle w:val="NoSpacing"/>
        <w:numPr>
          <w:ilvl w:val="0"/>
          <w:numId w:val="32"/>
        </w:numPr>
        <w:spacing w:before="120" w:after="120"/>
        <w:ind w:left="1080"/>
        <w:rPr>
          <w:rFonts w:ascii="Arial" w:hAnsi="Arial" w:cs="Arial"/>
          <w:sz w:val="24"/>
          <w:lang w:val="en-US" w:eastAsia="zh-CN"/>
        </w:rPr>
      </w:pPr>
      <w:r w:rsidRPr="00C15084">
        <w:rPr>
          <w:rFonts w:ascii="Arial" w:hAnsi="Arial" w:cs="Arial"/>
          <w:noProof/>
          <w:sz w:val="24"/>
          <w:lang w:val="en-US" w:eastAsia="zh-CN"/>
        </w:rPr>
        <w:t>For adults with ADHD, drug treatment should be the first-line treatment unless psychological approaches are preferred.</w:t>
      </w:r>
    </w:p>
    <w:p w14:paraId="75AD1DFA" w14:textId="77777777" w:rsidR="004C666B" w:rsidRDefault="004C666B" w:rsidP="007B1B86">
      <w:pPr>
        <w:pStyle w:val="NoSpacing"/>
        <w:numPr>
          <w:ilvl w:val="0"/>
          <w:numId w:val="32"/>
        </w:numPr>
        <w:spacing w:before="120" w:after="120"/>
        <w:ind w:left="1080"/>
        <w:rPr>
          <w:rFonts w:ascii="Arial" w:hAnsi="Arial" w:cs="Arial"/>
          <w:sz w:val="24"/>
          <w:lang w:val="en-US" w:eastAsia="zh-CN"/>
        </w:rPr>
      </w:pPr>
      <w:r w:rsidRPr="00C15084">
        <w:rPr>
          <w:rFonts w:ascii="Arial" w:hAnsi="Arial" w:cs="Arial"/>
          <w:noProof/>
          <w:sz w:val="24"/>
          <w:lang w:val="en-US" w:eastAsia="zh-CN"/>
        </w:rPr>
        <w:t>Pharmacological treatments for ADHD in adults should be initiated only under the guidance of a specialist with expertise in ADHD, ideally as part of a multidisciplinary team, following a thorough assessment as part of a comprehensive  treatment programme that addresses psychological, behavioural and occupational needs. Those with co-morbide substance misuse should be managed by a specialist with knowledge of both areas.</w:t>
      </w:r>
    </w:p>
    <w:p w14:paraId="3A91A8AD" w14:textId="03FEFC08" w:rsidR="007B1B86" w:rsidRPr="00C15084" w:rsidRDefault="007B1B86" w:rsidP="007B1B86">
      <w:pPr>
        <w:pStyle w:val="NoSpacing"/>
        <w:numPr>
          <w:ilvl w:val="0"/>
          <w:numId w:val="32"/>
        </w:numPr>
        <w:spacing w:before="120" w:after="120"/>
        <w:ind w:left="1080"/>
        <w:rPr>
          <w:rFonts w:ascii="Arial" w:hAnsi="Arial" w:cs="Arial"/>
          <w:sz w:val="24"/>
          <w:lang w:val="en-US" w:eastAsia="zh-CN"/>
        </w:rPr>
      </w:pPr>
      <w:r>
        <w:rPr>
          <w:rFonts w:ascii="Arial" w:hAnsi="Arial" w:cs="Arial"/>
          <w:noProof/>
          <w:sz w:val="24"/>
          <w:lang w:val="en-US" w:eastAsia="zh-CN"/>
        </w:rPr>
        <w:t xml:space="preserve">Before initiating drug treatment, confirm the diagnosis and carry out a full assessement of ADHD and associated co-morbidities, according to current national guidelines. </w:t>
      </w:r>
    </w:p>
    <w:p w14:paraId="3E0333BB" w14:textId="77777777" w:rsidR="004C666B" w:rsidRPr="00C15084" w:rsidRDefault="004C666B" w:rsidP="007B1B86">
      <w:pPr>
        <w:pStyle w:val="ListParagraph"/>
        <w:spacing w:before="120" w:after="120" w:line="240" w:lineRule="auto"/>
        <w:ind w:left="363"/>
        <w:contextualSpacing w:val="0"/>
        <w:rPr>
          <w:rFonts w:ascii="Arial" w:eastAsiaTheme="minorEastAsia" w:hAnsi="Arial" w:cs="Arial"/>
          <w:noProof/>
          <w:color w:val="000000"/>
          <w:kern w:val="2"/>
          <w:sz w:val="24"/>
          <w:szCs w:val="24"/>
          <w:lang w:val="en-US" w:eastAsia="zh-CN"/>
        </w:rPr>
      </w:pPr>
      <w:r w:rsidRPr="00C15084">
        <w:rPr>
          <w:rFonts w:ascii="Arial" w:eastAsiaTheme="minorEastAsia" w:hAnsi="Arial" w:cs="Arial"/>
          <w:noProof/>
          <w:color w:val="000000"/>
          <w:kern w:val="2"/>
          <w:sz w:val="24"/>
          <w:szCs w:val="24"/>
          <w:lang w:val="en-US" w:eastAsia="zh-CN"/>
        </w:rPr>
        <w:t>Cognitive behavioural therapy may be considered when the service user has made an informed choice not to have drug treatment, or drug treatment  is partially effective or not tolerated or ineffective.</w:t>
      </w:r>
    </w:p>
    <w:p w14:paraId="1BE4594A" w14:textId="77777777" w:rsidR="00492079" w:rsidRPr="00C15084" w:rsidRDefault="00492079" w:rsidP="007B1B86">
      <w:pPr>
        <w:pStyle w:val="ListParagraph"/>
        <w:numPr>
          <w:ilvl w:val="0"/>
          <w:numId w:val="1"/>
        </w:numPr>
        <w:spacing w:before="240" w:after="240" w:line="240" w:lineRule="auto"/>
        <w:ind w:left="357" w:hanging="357"/>
        <w:contextualSpacing w:val="0"/>
        <w:rPr>
          <w:rFonts w:ascii="Arial" w:eastAsiaTheme="minorEastAsia" w:hAnsi="Arial" w:cs="Arial"/>
          <w:b/>
          <w:noProof/>
          <w:color w:val="0070C0"/>
          <w:kern w:val="2"/>
          <w:sz w:val="24"/>
          <w:szCs w:val="24"/>
          <w:lang w:val="en-US" w:eastAsia="zh-CN"/>
        </w:rPr>
      </w:pPr>
      <w:r w:rsidRPr="00C15084">
        <w:rPr>
          <w:rFonts w:ascii="Arial" w:eastAsiaTheme="minorEastAsia" w:hAnsi="Arial" w:cs="Arial"/>
          <w:b/>
          <w:noProof/>
          <w:color w:val="0070C0"/>
          <w:kern w:val="2"/>
          <w:sz w:val="24"/>
          <w:szCs w:val="24"/>
          <w:lang w:val="en-US" w:eastAsia="zh-CN"/>
        </w:rPr>
        <w:t>Prescribing Advice</w:t>
      </w:r>
    </w:p>
    <w:p w14:paraId="224222E2" w14:textId="77777777" w:rsidR="00264AF0" w:rsidRPr="00C15084" w:rsidRDefault="00264AF0" w:rsidP="007B1B86">
      <w:pPr>
        <w:pStyle w:val="ListParagraph"/>
        <w:widowControl w:val="0"/>
        <w:numPr>
          <w:ilvl w:val="0"/>
          <w:numId w:val="11"/>
        </w:numPr>
        <w:spacing w:before="120" w:after="120" w:line="240" w:lineRule="auto"/>
        <w:contextualSpacing w:val="0"/>
        <w:rPr>
          <w:rFonts w:ascii="Arial" w:eastAsiaTheme="minorEastAsia" w:hAnsi="Arial" w:cs="Arial"/>
          <w:kern w:val="2"/>
          <w:sz w:val="24"/>
          <w:szCs w:val="24"/>
          <w:lang w:val="en-US" w:eastAsia="zh-CN"/>
        </w:rPr>
      </w:pPr>
      <w:r w:rsidRPr="00C15084">
        <w:rPr>
          <w:rFonts w:ascii="Arial" w:eastAsiaTheme="minorEastAsia" w:hAnsi="Arial" w:cs="Arial"/>
          <w:noProof/>
          <w:color w:val="000000"/>
          <w:kern w:val="2"/>
          <w:sz w:val="24"/>
          <w:szCs w:val="24"/>
          <w:lang w:val="en-US" w:eastAsia="zh-CN"/>
        </w:rPr>
        <w:t>Informed consent </w:t>
      </w:r>
      <w:r w:rsidR="004D3B91" w:rsidRPr="00C15084">
        <w:rPr>
          <w:rFonts w:ascii="Arial" w:eastAsiaTheme="minorEastAsia" w:hAnsi="Arial" w:cs="Arial"/>
          <w:noProof/>
          <w:color w:val="000000"/>
          <w:kern w:val="2"/>
          <w:sz w:val="24"/>
          <w:szCs w:val="24"/>
          <w:lang w:val="en-US" w:eastAsia="zh-CN"/>
        </w:rPr>
        <w:t>prior to</w:t>
      </w:r>
      <w:r w:rsidR="00887286" w:rsidRPr="00C15084">
        <w:rPr>
          <w:rFonts w:ascii="Arial" w:eastAsiaTheme="minorEastAsia" w:hAnsi="Arial" w:cs="Arial"/>
          <w:noProof/>
          <w:color w:val="000000"/>
          <w:kern w:val="2"/>
          <w:sz w:val="24"/>
          <w:szCs w:val="24"/>
          <w:lang w:val="en-US" w:eastAsia="zh-CN"/>
        </w:rPr>
        <w:t xml:space="preserve"> </w:t>
      </w:r>
      <w:r w:rsidRPr="00C15084">
        <w:rPr>
          <w:rFonts w:ascii="Arial" w:eastAsiaTheme="minorEastAsia" w:hAnsi="Arial" w:cs="Arial"/>
          <w:noProof/>
          <w:color w:val="000000"/>
          <w:kern w:val="2"/>
          <w:sz w:val="24"/>
          <w:szCs w:val="24"/>
          <w:lang w:val="en-US" w:eastAsia="zh-CN"/>
        </w:rPr>
        <w:t>treatment should be obtained and documented.</w:t>
      </w:r>
    </w:p>
    <w:p w14:paraId="5E40F804" w14:textId="77777777" w:rsidR="00492079" w:rsidRPr="00C15084" w:rsidRDefault="00264AF0" w:rsidP="007B1B86">
      <w:pPr>
        <w:pStyle w:val="ListParagraph"/>
        <w:widowControl w:val="0"/>
        <w:numPr>
          <w:ilvl w:val="0"/>
          <w:numId w:val="11"/>
        </w:numPr>
        <w:spacing w:before="120" w:after="120" w:line="240" w:lineRule="auto"/>
        <w:contextualSpacing w:val="0"/>
        <w:rPr>
          <w:rFonts w:ascii="Arial" w:eastAsiaTheme="minorEastAsia" w:hAnsi="Arial" w:cs="Arial"/>
          <w:kern w:val="2"/>
          <w:sz w:val="24"/>
          <w:szCs w:val="24"/>
          <w:lang w:val="en-US" w:eastAsia="zh-CN"/>
        </w:rPr>
      </w:pPr>
      <w:r w:rsidRPr="00C15084">
        <w:rPr>
          <w:rFonts w:ascii="Arial" w:eastAsiaTheme="minorEastAsia" w:hAnsi="Arial" w:cs="Arial"/>
          <w:noProof/>
          <w:color w:val="000000"/>
          <w:kern w:val="2"/>
          <w:sz w:val="24"/>
          <w:szCs w:val="24"/>
          <w:lang w:val="en-US" w:eastAsia="zh-CN"/>
        </w:rPr>
        <w:t>Stimulants are controlled drugs and have the potential for misuse and diversion, </w:t>
      </w:r>
    </w:p>
    <w:p w14:paraId="7D7788F7" w14:textId="77777777" w:rsidR="00264AF0" w:rsidRPr="00C15084" w:rsidRDefault="00264AF0" w:rsidP="007B1B86">
      <w:pPr>
        <w:pStyle w:val="ListParagraph"/>
        <w:widowControl w:val="0"/>
        <w:spacing w:before="120" w:after="120" w:line="240" w:lineRule="auto"/>
        <w:ind w:left="1080"/>
        <w:contextualSpacing w:val="0"/>
        <w:rPr>
          <w:rFonts w:ascii="Arial" w:eastAsiaTheme="minorEastAsia" w:hAnsi="Arial" w:cs="Arial"/>
          <w:kern w:val="2"/>
          <w:sz w:val="24"/>
          <w:szCs w:val="24"/>
          <w:lang w:val="en-US" w:eastAsia="zh-CN"/>
        </w:rPr>
      </w:pPr>
      <w:r w:rsidRPr="00C15084">
        <w:rPr>
          <w:rFonts w:ascii="Arial" w:eastAsiaTheme="minorEastAsia" w:hAnsi="Arial" w:cs="Arial"/>
          <w:noProof/>
          <w:color w:val="000000"/>
          <w:kern w:val="2"/>
          <w:sz w:val="24"/>
          <w:szCs w:val="24"/>
          <w:lang w:val="en-US" w:eastAsia="zh-CN"/>
        </w:rPr>
        <w:t>either for subjective effects or effects on performance.  The requirements of controlled drug legislation with respect to prescribing and supply must  be followed.</w:t>
      </w:r>
    </w:p>
    <w:p w14:paraId="6DCE71ED" w14:textId="77777777" w:rsidR="00264AF0" w:rsidRPr="00C15084" w:rsidRDefault="00264AF0" w:rsidP="007B1B86">
      <w:pPr>
        <w:pStyle w:val="ListParagraph"/>
        <w:widowControl w:val="0"/>
        <w:numPr>
          <w:ilvl w:val="0"/>
          <w:numId w:val="11"/>
        </w:numPr>
        <w:spacing w:before="120" w:after="120" w:line="240" w:lineRule="auto"/>
        <w:contextualSpacing w:val="0"/>
        <w:rPr>
          <w:rFonts w:ascii="Arial" w:eastAsiaTheme="minorEastAsia" w:hAnsi="Arial" w:cs="Arial"/>
          <w:kern w:val="2"/>
          <w:sz w:val="24"/>
          <w:szCs w:val="24"/>
          <w:lang w:val="en-US" w:eastAsia="zh-CN"/>
        </w:rPr>
      </w:pPr>
      <w:r w:rsidRPr="00C15084">
        <w:rPr>
          <w:rFonts w:ascii="Arial" w:eastAsiaTheme="minorEastAsia" w:hAnsi="Arial" w:cs="Arial"/>
          <w:noProof/>
          <w:color w:val="000000"/>
          <w:kern w:val="2"/>
          <w:sz w:val="24"/>
          <w:szCs w:val="24"/>
          <w:lang w:val="en-US" w:eastAsia="zh-CN"/>
        </w:rPr>
        <w:t>Before treatment, adults with ADHD should be offered written information about their condition and its assessment, risks and benefits of treatment, available services, psychological support and self help.</w:t>
      </w:r>
    </w:p>
    <w:p w14:paraId="23F5773A" w14:textId="77777777" w:rsidR="00492079" w:rsidRPr="00C15084" w:rsidRDefault="00264AF0" w:rsidP="007B1B86">
      <w:pPr>
        <w:pStyle w:val="ListParagraph"/>
        <w:widowControl w:val="0"/>
        <w:numPr>
          <w:ilvl w:val="0"/>
          <w:numId w:val="11"/>
        </w:numPr>
        <w:spacing w:before="120" w:after="120" w:line="240" w:lineRule="auto"/>
        <w:contextualSpacing w:val="0"/>
        <w:rPr>
          <w:rFonts w:ascii="Arial" w:eastAsiaTheme="minorEastAsia" w:hAnsi="Arial" w:cs="Arial"/>
          <w:kern w:val="2"/>
          <w:sz w:val="24"/>
          <w:szCs w:val="24"/>
          <w:lang w:val="en-US" w:eastAsia="zh-CN"/>
        </w:rPr>
      </w:pPr>
      <w:r w:rsidRPr="00C15084">
        <w:rPr>
          <w:rFonts w:ascii="Arial" w:eastAsiaTheme="minorEastAsia" w:hAnsi="Arial" w:cs="Arial"/>
          <w:noProof/>
          <w:color w:val="000000"/>
          <w:kern w:val="2"/>
          <w:sz w:val="24"/>
          <w:szCs w:val="24"/>
          <w:lang w:val="en-US" w:eastAsia="zh-CN"/>
        </w:rPr>
        <w:t>During the titration phase, doses should be gradually increased until there is no </w:t>
      </w:r>
    </w:p>
    <w:p w14:paraId="1AEBB5BA" w14:textId="77777777" w:rsidR="00264AF0" w:rsidRPr="00C15084" w:rsidRDefault="00264AF0" w:rsidP="007B1B86">
      <w:pPr>
        <w:pStyle w:val="ListParagraph"/>
        <w:widowControl w:val="0"/>
        <w:spacing w:before="120" w:after="120" w:line="240" w:lineRule="auto"/>
        <w:ind w:left="1080"/>
        <w:contextualSpacing w:val="0"/>
        <w:rPr>
          <w:rFonts w:ascii="Arial" w:eastAsiaTheme="minorEastAsia" w:hAnsi="Arial" w:cs="Arial"/>
          <w:kern w:val="2"/>
          <w:sz w:val="24"/>
          <w:szCs w:val="24"/>
          <w:lang w:val="en-US" w:eastAsia="zh-CN"/>
        </w:rPr>
      </w:pPr>
      <w:r w:rsidRPr="00C15084">
        <w:rPr>
          <w:rFonts w:ascii="Arial" w:eastAsiaTheme="minorEastAsia" w:hAnsi="Arial" w:cs="Arial"/>
          <w:noProof/>
          <w:color w:val="000000"/>
          <w:kern w:val="2"/>
          <w:sz w:val="24"/>
          <w:szCs w:val="24"/>
          <w:lang w:val="en-US" w:eastAsia="zh-CN"/>
        </w:rPr>
        <w:t>further clinical improvement in ADHD symptoms, and side effects are tolerable.</w:t>
      </w:r>
    </w:p>
    <w:p w14:paraId="5FA76940" w14:textId="32C3CAB6" w:rsidR="00264AF0" w:rsidRPr="00C15084" w:rsidRDefault="00264AF0" w:rsidP="007B1B86">
      <w:pPr>
        <w:pStyle w:val="ListParagraph"/>
        <w:widowControl w:val="0"/>
        <w:numPr>
          <w:ilvl w:val="0"/>
          <w:numId w:val="11"/>
        </w:numPr>
        <w:spacing w:before="120" w:after="120" w:line="240" w:lineRule="auto"/>
        <w:contextualSpacing w:val="0"/>
        <w:rPr>
          <w:rFonts w:ascii="Arial" w:eastAsiaTheme="minorEastAsia" w:hAnsi="Arial" w:cs="Arial"/>
          <w:kern w:val="2"/>
          <w:sz w:val="24"/>
          <w:szCs w:val="24"/>
          <w:lang w:val="en-US" w:eastAsia="zh-CN"/>
        </w:rPr>
      </w:pPr>
      <w:r w:rsidRPr="00C15084">
        <w:rPr>
          <w:rFonts w:ascii="Arial" w:eastAsiaTheme="minorEastAsia" w:hAnsi="Arial" w:cs="Arial"/>
          <w:noProof/>
          <w:color w:val="000000"/>
          <w:kern w:val="2"/>
          <w:sz w:val="24"/>
          <w:szCs w:val="24"/>
          <w:lang w:val="en-US" w:eastAsia="zh-CN"/>
        </w:rPr>
        <w:t xml:space="preserve">Following an adequate response, pharmacological treatment for ADHD should be continued for as long as it is clinically effective.  If continued it should be reviewed as a minimum annually for adults  and </w:t>
      </w:r>
      <w:r w:rsidRPr="00C15084">
        <w:rPr>
          <w:rFonts w:ascii="Arial" w:eastAsiaTheme="minorEastAsia" w:hAnsi="Arial" w:cs="Arial"/>
          <w:noProof/>
          <w:kern w:val="2"/>
          <w:sz w:val="24"/>
          <w:szCs w:val="24"/>
          <w:lang w:val="en-US" w:eastAsia="zh-CN"/>
        </w:rPr>
        <w:t xml:space="preserve">6 </w:t>
      </w:r>
      <w:r w:rsidR="00F010D3" w:rsidRPr="00C15084">
        <w:rPr>
          <w:rFonts w:ascii="Arial" w:eastAsiaTheme="minorEastAsia" w:hAnsi="Arial" w:cs="Arial"/>
          <w:noProof/>
          <w:kern w:val="2"/>
          <w:sz w:val="24"/>
          <w:szCs w:val="24"/>
          <w:lang w:val="en-US" w:eastAsia="zh-CN"/>
        </w:rPr>
        <w:t xml:space="preserve">(3) </w:t>
      </w:r>
      <w:r w:rsidRPr="00C15084">
        <w:rPr>
          <w:rFonts w:ascii="Arial" w:eastAsiaTheme="minorEastAsia" w:hAnsi="Arial" w:cs="Arial"/>
          <w:noProof/>
          <w:kern w:val="2"/>
          <w:sz w:val="24"/>
          <w:szCs w:val="24"/>
          <w:lang w:val="en-US" w:eastAsia="zh-CN"/>
        </w:rPr>
        <w:t xml:space="preserve">monthly for children. </w:t>
      </w:r>
      <w:r w:rsidR="00887286" w:rsidRPr="00C15084">
        <w:rPr>
          <w:rFonts w:ascii="Arial" w:hAnsi="Arial" w:cs="Arial"/>
          <w:sz w:val="24"/>
          <w:szCs w:val="24"/>
          <w:shd w:val="clear" w:color="auto" w:fill="FAFAFB"/>
        </w:rPr>
        <w:t xml:space="preserve">measure weight every </w:t>
      </w:r>
      <w:r w:rsidR="00887286" w:rsidRPr="00C15084">
        <w:rPr>
          <w:rFonts w:ascii="Arial" w:hAnsi="Arial" w:cs="Arial"/>
          <w:sz w:val="24"/>
          <w:szCs w:val="24"/>
          <w:shd w:val="clear" w:color="auto" w:fill="FAFAFB"/>
        </w:rPr>
        <w:lastRenderedPageBreak/>
        <w:t>3 months in children 10 years and under</w:t>
      </w:r>
      <w:r w:rsidR="002F75D0">
        <w:rPr>
          <w:rFonts w:ascii="Arial" w:hAnsi="Arial" w:cs="Arial"/>
          <w:sz w:val="24"/>
          <w:szCs w:val="24"/>
          <w:shd w:val="clear" w:color="auto" w:fill="FAFAFB"/>
        </w:rPr>
        <w:t>, in</w:t>
      </w:r>
      <w:r w:rsidR="00887286" w:rsidRPr="00C15084">
        <w:rPr>
          <w:rFonts w:ascii="Arial" w:hAnsi="Arial" w:cs="Arial"/>
          <w:sz w:val="24"/>
          <w:szCs w:val="24"/>
          <w:shd w:val="clear" w:color="auto" w:fill="FAFAFB"/>
        </w:rPr>
        <w:t xml:space="preserve"> </w:t>
      </w:r>
      <w:hyperlink r:id="rId10" w:history="1">
        <w:r w:rsidR="002F75D0" w:rsidRPr="002F75D0">
          <w:rPr>
            <w:rStyle w:val="Hyperlink"/>
            <w:rFonts w:ascii="Arial" w:hAnsi="Arial" w:cs="Arial"/>
            <w:sz w:val="24"/>
            <w:szCs w:val="24"/>
            <w:shd w:val="clear" w:color="auto" w:fill="FAFAFB"/>
          </w:rPr>
          <w:t>NG</w:t>
        </w:r>
        <w:r w:rsidR="00887286" w:rsidRPr="002F75D0">
          <w:rPr>
            <w:rStyle w:val="Hyperlink"/>
            <w:rFonts w:ascii="Arial" w:hAnsi="Arial" w:cs="Arial"/>
            <w:sz w:val="24"/>
            <w:szCs w:val="24"/>
            <w:shd w:val="clear" w:color="auto" w:fill="FAFAFB"/>
          </w:rPr>
          <w:t>87</w:t>
        </w:r>
      </w:hyperlink>
      <w:r w:rsidR="00887286" w:rsidRPr="00C15084">
        <w:rPr>
          <w:rFonts w:ascii="Arial" w:hAnsi="Arial" w:cs="Arial"/>
          <w:sz w:val="24"/>
          <w:szCs w:val="24"/>
          <w:shd w:val="clear" w:color="auto" w:fill="FAFAFB"/>
        </w:rPr>
        <w:t xml:space="preserve"> </w:t>
      </w:r>
      <w:r w:rsidR="00F010D3" w:rsidRPr="00C15084">
        <w:rPr>
          <w:rFonts w:ascii="Arial" w:hAnsi="Arial" w:cs="Arial"/>
          <w:sz w:val="24"/>
          <w:szCs w:val="24"/>
          <w:shd w:val="clear" w:color="auto" w:fill="FAFAFB"/>
        </w:rPr>
        <w:t>it is 6 months for the cardiovascular review</w:t>
      </w:r>
      <w:r w:rsidR="005A319D" w:rsidRPr="00C15084">
        <w:rPr>
          <w:rFonts w:ascii="Arial" w:eastAsiaTheme="minorEastAsia" w:hAnsi="Arial" w:cs="Arial"/>
          <w:noProof/>
          <w:kern w:val="2"/>
          <w:sz w:val="24"/>
          <w:szCs w:val="24"/>
          <w:lang w:val="en-US" w:eastAsia="zh-CN"/>
        </w:rPr>
        <w:t>, (this is i</w:t>
      </w:r>
      <w:r w:rsidR="00AC3738" w:rsidRPr="00C15084">
        <w:rPr>
          <w:rFonts w:ascii="Arial" w:eastAsiaTheme="minorEastAsia" w:hAnsi="Arial" w:cs="Arial"/>
          <w:noProof/>
          <w:kern w:val="2"/>
          <w:sz w:val="24"/>
          <w:szCs w:val="24"/>
          <w:lang w:val="en-US" w:eastAsia="zh-CN"/>
        </w:rPr>
        <w:t>n table 1 saying weight 3 month</w:t>
      </w:r>
      <w:r w:rsidR="005A319D" w:rsidRPr="00C15084">
        <w:rPr>
          <w:rFonts w:ascii="Arial" w:eastAsiaTheme="minorEastAsia" w:hAnsi="Arial" w:cs="Arial"/>
          <w:noProof/>
          <w:kern w:val="2"/>
          <w:sz w:val="24"/>
          <w:szCs w:val="24"/>
          <w:lang w:val="en-US" w:eastAsia="zh-CN"/>
        </w:rPr>
        <w:t>l</w:t>
      </w:r>
      <w:r w:rsidR="00AC3738" w:rsidRPr="00C15084">
        <w:rPr>
          <w:rFonts w:ascii="Arial" w:eastAsiaTheme="minorEastAsia" w:hAnsi="Arial" w:cs="Arial"/>
          <w:noProof/>
          <w:kern w:val="2"/>
          <w:sz w:val="24"/>
          <w:szCs w:val="24"/>
          <w:lang w:val="en-US" w:eastAsia="zh-CN"/>
        </w:rPr>
        <w:t xml:space="preserve">y checks </w:t>
      </w:r>
      <w:r w:rsidR="005A319D" w:rsidRPr="00C15084">
        <w:rPr>
          <w:rFonts w:ascii="Arial" w:eastAsiaTheme="minorEastAsia" w:hAnsi="Arial" w:cs="Arial"/>
          <w:noProof/>
          <w:kern w:val="2"/>
          <w:sz w:val="24"/>
          <w:szCs w:val="24"/>
          <w:lang w:val="en-US" w:eastAsia="zh-CN"/>
        </w:rPr>
        <w:t>s</w:t>
      </w:r>
      <w:r w:rsidR="00AC3738" w:rsidRPr="00C15084">
        <w:rPr>
          <w:rFonts w:ascii="Arial" w:eastAsiaTheme="minorEastAsia" w:hAnsi="Arial" w:cs="Arial"/>
          <w:noProof/>
          <w:kern w:val="2"/>
          <w:sz w:val="24"/>
          <w:szCs w:val="24"/>
          <w:lang w:val="en-US" w:eastAsia="zh-CN"/>
        </w:rPr>
        <w:t>h</w:t>
      </w:r>
      <w:r w:rsidR="005A319D" w:rsidRPr="00C15084">
        <w:rPr>
          <w:rFonts w:ascii="Arial" w:eastAsiaTheme="minorEastAsia" w:hAnsi="Arial" w:cs="Arial"/>
          <w:noProof/>
          <w:kern w:val="2"/>
          <w:sz w:val="24"/>
          <w:szCs w:val="24"/>
          <w:lang w:val="en-US" w:eastAsia="zh-CN"/>
        </w:rPr>
        <w:t>ould alternate between</w:t>
      </w:r>
      <w:r w:rsidR="00AC3738" w:rsidRPr="00C15084">
        <w:rPr>
          <w:rFonts w:ascii="Arial" w:eastAsiaTheme="minorEastAsia" w:hAnsi="Arial" w:cs="Arial"/>
          <w:noProof/>
          <w:kern w:val="2"/>
          <w:sz w:val="24"/>
          <w:szCs w:val="24"/>
          <w:lang w:val="en-US" w:eastAsia="zh-CN"/>
        </w:rPr>
        <w:t xml:space="preserve"> </w:t>
      </w:r>
      <w:r w:rsidR="005A319D" w:rsidRPr="00C15084">
        <w:rPr>
          <w:rFonts w:ascii="Arial" w:eastAsiaTheme="minorEastAsia" w:hAnsi="Arial" w:cs="Arial"/>
          <w:noProof/>
          <w:kern w:val="2"/>
          <w:sz w:val="24"/>
          <w:szCs w:val="24"/>
          <w:lang w:val="en-US" w:eastAsia="zh-CN"/>
        </w:rPr>
        <w:t>sec</w:t>
      </w:r>
      <w:r w:rsidR="00AC3738" w:rsidRPr="00C15084">
        <w:rPr>
          <w:rFonts w:ascii="Arial" w:eastAsiaTheme="minorEastAsia" w:hAnsi="Arial" w:cs="Arial"/>
          <w:noProof/>
          <w:kern w:val="2"/>
          <w:sz w:val="24"/>
          <w:szCs w:val="24"/>
          <w:lang w:val="en-US" w:eastAsia="zh-CN"/>
        </w:rPr>
        <w:t>o</w:t>
      </w:r>
      <w:r w:rsidR="005A319D" w:rsidRPr="00C15084">
        <w:rPr>
          <w:rFonts w:ascii="Arial" w:eastAsiaTheme="minorEastAsia" w:hAnsi="Arial" w:cs="Arial"/>
          <w:noProof/>
          <w:kern w:val="2"/>
          <w:sz w:val="24"/>
          <w:szCs w:val="24"/>
          <w:lang w:val="en-US" w:eastAsia="zh-CN"/>
        </w:rPr>
        <w:t>ndary and primary care.)</w:t>
      </w:r>
      <w:r w:rsidRPr="00C15084">
        <w:rPr>
          <w:rFonts w:ascii="Arial" w:eastAsiaTheme="minorEastAsia" w:hAnsi="Arial" w:cs="Arial"/>
          <w:noProof/>
          <w:kern w:val="2"/>
          <w:sz w:val="24"/>
          <w:szCs w:val="24"/>
          <w:lang w:val="en-US" w:eastAsia="zh-CN"/>
        </w:rPr>
        <w:t xml:space="preserve"> </w:t>
      </w:r>
      <w:r w:rsidRPr="00C15084">
        <w:rPr>
          <w:rFonts w:ascii="Arial" w:eastAsiaTheme="minorEastAsia" w:hAnsi="Arial" w:cs="Arial"/>
          <w:noProof/>
          <w:color w:val="000000"/>
          <w:kern w:val="2"/>
          <w:sz w:val="24"/>
          <w:szCs w:val="24"/>
          <w:lang w:val="en-US" w:eastAsia="zh-CN"/>
        </w:rPr>
        <w:t>During the review consider the benefits on core symptoms, compliance, adverse effe</w:t>
      </w:r>
      <w:r w:rsidR="00887286" w:rsidRPr="00C15084">
        <w:rPr>
          <w:rFonts w:ascii="Arial" w:eastAsiaTheme="minorEastAsia" w:hAnsi="Arial" w:cs="Arial"/>
          <w:noProof/>
          <w:color w:val="000000"/>
          <w:kern w:val="2"/>
          <w:sz w:val="24"/>
          <w:szCs w:val="24"/>
          <w:lang w:val="en-US" w:eastAsia="zh-CN"/>
        </w:rPr>
        <w:t>cts, missed doses and co-morbid</w:t>
      </w:r>
      <w:r w:rsidRPr="00C15084">
        <w:rPr>
          <w:rFonts w:ascii="Arial" w:eastAsiaTheme="minorEastAsia" w:hAnsi="Arial" w:cs="Arial"/>
          <w:noProof/>
          <w:color w:val="000000"/>
          <w:kern w:val="2"/>
          <w:sz w:val="24"/>
          <w:szCs w:val="24"/>
          <w:lang w:val="en-US" w:eastAsia="zh-CN"/>
        </w:rPr>
        <w:t xml:space="preserve"> conditions.</w:t>
      </w:r>
      <w:r w:rsidR="00BC735E" w:rsidRPr="00C15084">
        <w:rPr>
          <w:rFonts w:ascii="Arial" w:eastAsiaTheme="minorEastAsia" w:hAnsi="Arial" w:cs="Arial"/>
          <w:noProof/>
          <w:color w:val="000000"/>
          <w:kern w:val="2"/>
          <w:sz w:val="24"/>
          <w:szCs w:val="24"/>
          <w:lang w:val="en-US" w:eastAsia="zh-CN"/>
        </w:rPr>
        <w:t xml:space="preserve">  Additional monitoring may be carried out at the discretion of the treating team</w:t>
      </w:r>
    </w:p>
    <w:p w14:paraId="347D9D6F" w14:textId="77777777" w:rsidR="00264AF0" w:rsidRPr="00C15084" w:rsidRDefault="00264AF0" w:rsidP="007B1B86">
      <w:pPr>
        <w:pStyle w:val="ListParagraph"/>
        <w:widowControl w:val="0"/>
        <w:numPr>
          <w:ilvl w:val="0"/>
          <w:numId w:val="11"/>
        </w:numPr>
        <w:spacing w:before="120" w:after="120" w:line="240" w:lineRule="auto"/>
        <w:contextualSpacing w:val="0"/>
        <w:rPr>
          <w:rFonts w:ascii="Arial" w:eastAsiaTheme="minorEastAsia" w:hAnsi="Arial" w:cs="Arial"/>
          <w:kern w:val="2"/>
          <w:sz w:val="24"/>
          <w:szCs w:val="24"/>
          <w:lang w:val="en-US" w:eastAsia="zh-CN"/>
        </w:rPr>
      </w:pPr>
      <w:r w:rsidRPr="00C15084">
        <w:rPr>
          <w:rFonts w:ascii="Arial" w:eastAsiaTheme="minorEastAsia" w:hAnsi="Arial" w:cs="Arial"/>
          <w:noProof/>
          <w:color w:val="000000"/>
          <w:kern w:val="2"/>
          <w:sz w:val="24"/>
          <w:szCs w:val="24"/>
          <w:lang w:val="en-US" w:eastAsia="zh-CN"/>
        </w:rPr>
        <w:t>Suspected side effects should be documented and reported via the yellow card scheme</w:t>
      </w:r>
    </w:p>
    <w:p w14:paraId="520D755A" w14:textId="77777777" w:rsidR="00492079" w:rsidRPr="00C15084" w:rsidRDefault="00492079" w:rsidP="007B1B86">
      <w:pPr>
        <w:pStyle w:val="ListParagraph"/>
        <w:widowControl w:val="0"/>
        <w:numPr>
          <w:ilvl w:val="0"/>
          <w:numId w:val="11"/>
        </w:numPr>
        <w:spacing w:before="120" w:after="120" w:line="240" w:lineRule="auto"/>
        <w:contextualSpacing w:val="0"/>
        <w:rPr>
          <w:rFonts w:ascii="Arial" w:eastAsiaTheme="minorEastAsia" w:hAnsi="Arial" w:cs="Arial"/>
          <w:kern w:val="2"/>
          <w:sz w:val="24"/>
          <w:szCs w:val="24"/>
          <w:lang w:val="en-US" w:eastAsia="zh-CN"/>
        </w:rPr>
      </w:pPr>
      <w:r w:rsidRPr="00C15084">
        <w:rPr>
          <w:rFonts w:ascii="Arial" w:eastAsiaTheme="minorEastAsia" w:hAnsi="Arial" w:cs="Arial"/>
          <w:noProof/>
          <w:color w:val="000000"/>
          <w:kern w:val="2"/>
          <w:sz w:val="24"/>
          <w:szCs w:val="24"/>
          <w:lang w:val="en-US" w:eastAsia="zh-CN"/>
        </w:rPr>
        <w:t xml:space="preserve">Following titration and dose stabilsation (usually over 4-6 weeks), continued prescribing and monitoring should continue under local shared care guidelines. </w:t>
      </w:r>
    </w:p>
    <w:p w14:paraId="695BE937" w14:textId="77777777" w:rsidR="00264AF0" w:rsidRPr="00C15084" w:rsidRDefault="00264AF0" w:rsidP="007B1B86">
      <w:pPr>
        <w:pStyle w:val="ListParagraph"/>
        <w:widowControl w:val="0"/>
        <w:numPr>
          <w:ilvl w:val="0"/>
          <w:numId w:val="11"/>
        </w:numPr>
        <w:spacing w:before="120" w:after="120" w:line="240" w:lineRule="auto"/>
        <w:ind w:left="1077" w:hanging="357"/>
        <w:contextualSpacing w:val="0"/>
        <w:rPr>
          <w:rFonts w:ascii="Arial" w:eastAsiaTheme="minorEastAsia" w:hAnsi="Arial" w:cs="Arial"/>
          <w:kern w:val="2"/>
          <w:sz w:val="24"/>
          <w:szCs w:val="24"/>
          <w:lang w:val="en-US" w:eastAsia="zh-CN"/>
        </w:rPr>
      </w:pPr>
      <w:r w:rsidRPr="00C15084">
        <w:rPr>
          <w:rFonts w:ascii="Arial" w:eastAsiaTheme="minorEastAsia" w:hAnsi="Arial" w:cs="Arial"/>
          <w:noProof/>
          <w:color w:val="000000"/>
          <w:kern w:val="2"/>
          <w:sz w:val="24"/>
          <w:szCs w:val="24"/>
          <w:lang w:val="en-US" w:eastAsia="zh-CN"/>
        </w:rPr>
        <w:t>Antipsychotics should not be used for treatment of ADHD in adults.</w:t>
      </w:r>
    </w:p>
    <w:p w14:paraId="060ED5ED" w14:textId="77777777" w:rsidR="00264AF0" w:rsidRPr="00C15084" w:rsidRDefault="004D3B91" w:rsidP="007B1B86">
      <w:pPr>
        <w:pStyle w:val="ListParagraph"/>
        <w:widowControl w:val="0"/>
        <w:spacing w:before="240" w:after="240" w:line="240" w:lineRule="auto"/>
        <w:ind w:left="363"/>
        <w:contextualSpacing w:val="0"/>
        <w:rPr>
          <w:rFonts w:ascii="Arial" w:eastAsiaTheme="minorEastAsia" w:hAnsi="Arial" w:cs="Arial"/>
          <w:b/>
          <w:noProof/>
          <w:color w:val="0070C0"/>
          <w:kern w:val="2"/>
          <w:sz w:val="24"/>
          <w:szCs w:val="24"/>
          <w:lang w:val="en-US" w:eastAsia="zh-CN"/>
        </w:rPr>
      </w:pPr>
      <w:r w:rsidRPr="00C15084">
        <w:rPr>
          <w:rFonts w:ascii="Arial" w:eastAsiaTheme="minorEastAsia" w:hAnsi="Arial" w:cs="Arial"/>
          <w:b/>
          <w:noProof/>
          <w:color w:val="0070C0"/>
          <w:kern w:val="2"/>
          <w:sz w:val="24"/>
          <w:szCs w:val="24"/>
          <w:lang w:val="en-US" w:eastAsia="zh-CN"/>
        </w:rPr>
        <w:t>Choice of medication</w:t>
      </w:r>
    </w:p>
    <w:p w14:paraId="02318AA4" w14:textId="77777777" w:rsidR="004D3B91" w:rsidRPr="00C15084" w:rsidRDefault="004D3B91" w:rsidP="007B1B86">
      <w:pPr>
        <w:pStyle w:val="ListParagraph"/>
        <w:widowControl w:val="0"/>
        <w:spacing w:before="120" w:after="120" w:line="240" w:lineRule="auto"/>
        <w:ind w:left="363"/>
        <w:contextualSpacing w:val="0"/>
        <w:rPr>
          <w:rFonts w:ascii="Arial" w:eastAsiaTheme="minorEastAsia" w:hAnsi="Arial" w:cs="Arial"/>
          <w:b/>
          <w:noProof/>
          <w:color w:val="000000"/>
          <w:kern w:val="2"/>
          <w:sz w:val="24"/>
          <w:szCs w:val="24"/>
          <w:lang w:eastAsia="zh-CN"/>
        </w:rPr>
      </w:pPr>
      <w:r w:rsidRPr="00C15084">
        <w:rPr>
          <w:rFonts w:ascii="Arial" w:eastAsiaTheme="minorEastAsia" w:hAnsi="Arial" w:cs="Arial"/>
          <w:b/>
          <w:noProof/>
          <w:color w:val="000000"/>
          <w:kern w:val="2"/>
          <w:sz w:val="24"/>
          <w:szCs w:val="24"/>
          <w:lang w:eastAsia="zh-CN"/>
        </w:rPr>
        <w:t>Children 5 years and over and young people (up to 17 years  and 364 days)</w:t>
      </w:r>
    </w:p>
    <w:p w14:paraId="41A06921" w14:textId="77777777" w:rsidR="004D3B91" w:rsidRPr="00C15084" w:rsidRDefault="004D3B91" w:rsidP="007B1B86">
      <w:pPr>
        <w:pStyle w:val="ListParagraph"/>
        <w:widowControl w:val="0"/>
        <w:numPr>
          <w:ilvl w:val="0"/>
          <w:numId w:val="24"/>
        </w:numPr>
        <w:spacing w:before="120" w:after="120" w:line="240" w:lineRule="auto"/>
        <w:ind w:left="1080"/>
        <w:contextualSpacing w:val="0"/>
        <w:rPr>
          <w:rFonts w:ascii="Arial" w:eastAsiaTheme="minorEastAsia" w:hAnsi="Arial" w:cs="Arial"/>
          <w:noProof/>
          <w:color w:val="000000"/>
          <w:kern w:val="2"/>
          <w:sz w:val="24"/>
          <w:szCs w:val="24"/>
          <w:lang w:eastAsia="zh-CN"/>
        </w:rPr>
      </w:pPr>
      <w:r w:rsidRPr="00C15084">
        <w:rPr>
          <w:rFonts w:ascii="Arial" w:eastAsiaTheme="minorEastAsia" w:hAnsi="Arial" w:cs="Arial"/>
          <w:noProof/>
          <w:color w:val="000000"/>
          <w:kern w:val="2"/>
          <w:sz w:val="24"/>
          <w:szCs w:val="24"/>
          <w:lang w:eastAsia="zh-CN"/>
        </w:rPr>
        <w:t>Methylphenidate (short or long acting as appropriate) is first line treatment</w:t>
      </w:r>
    </w:p>
    <w:p w14:paraId="41EDEFA2" w14:textId="77777777" w:rsidR="004D3B91" w:rsidRPr="00C15084" w:rsidRDefault="00941C47" w:rsidP="007B1B86">
      <w:pPr>
        <w:pStyle w:val="ListParagraph"/>
        <w:widowControl w:val="0"/>
        <w:numPr>
          <w:ilvl w:val="0"/>
          <w:numId w:val="24"/>
        </w:numPr>
        <w:spacing w:before="120" w:after="120" w:line="240" w:lineRule="auto"/>
        <w:ind w:left="1080"/>
        <w:contextualSpacing w:val="0"/>
        <w:rPr>
          <w:rFonts w:ascii="Arial" w:eastAsiaTheme="minorEastAsia" w:hAnsi="Arial" w:cs="Arial"/>
          <w:noProof/>
          <w:color w:val="000000"/>
          <w:kern w:val="2"/>
          <w:sz w:val="24"/>
          <w:szCs w:val="24"/>
          <w:lang w:eastAsia="zh-CN"/>
        </w:rPr>
      </w:pPr>
      <w:r w:rsidRPr="00C15084">
        <w:rPr>
          <w:rFonts w:ascii="Arial" w:eastAsiaTheme="minorEastAsia" w:hAnsi="Arial" w:cs="Arial"/>
          <w:noProof/>
          <w:color w:val="000000"/>
          <w:kern w:val="2"/>
          <w:sz w:val="24"/>
          <w:szCs w:val="24"/>
          <w:lang w:eastAsia="zh-CN"/>
        </w:rPr>
        <w:t>Lisdexamfetamine and d</w:t>
      </w:r>
      <w:r w:rsidR="004D3B91" w:rsidRPr="00C15084">
        <w:rPr>
          <w:rFonts w:ascii="Arial" w:eastAsiaTheme="minorEastAsia" w:hAnsi="Arial" w:cs="Arial"/>
          <w:noProof/>
          <w:color w:val="000000"/>
          <w:kern w:val="2"/>
          <w:sz w:val="24"/>
          <w:szCs w:val="24"/>
          <w:lang w:eastAsia="zh-CN"/>
        </w:rPr>
        <w:t>examfetamine being considered second and third line as per NICE guidance</w:t>
      </w:r>
    </w:p>
    <w:p w14:paraId="600EDFC2" w14:textId="77777777" w:rsidR="004D3B91" w:rsidRPr="00C15084" w:rsidRDefault="004D3B91" w:rsidP="007B1B86">
      <w:pPr>
        <w:pStyle w:val="ListParagraph"/>
        <w:widowControl w:val="0"/>
        <w:numPr>
          <w:ilvl w:val="0"/>
          <w:numId w:val="24"/>
        </w:numPr>
        <w:spacing w:before="120" w:after="120" w:line="240" w:lineRule="auto"/>
        <w:ind w:left="1080"/>
        <w:contextualSpacing w:val="0"/>
        <w:rPr>
          <w:rFonts w:ascii="Arial" w:eastAsiaTheme="minorEastAsia" w:hAnsi="Arial" w:cs="Arial"/>
          <w:noProof/>
          <w:color w:val="000000"/>
          <w:kern w:val="2"/>
          <w:sz w:val="24"/>
          <w:szCs w:val="24"/>
          <w:lang w:eastAsia="zh-CN"/>
        </w:rPr>
      </w:pPr>
      <w:r w:rsidRPr="00C15084">
        <w:rPr>
          <w:rFonts w:ascii="Arial" w:eastAsiaTheme="minorEastAsia" w:hAnsi="Arial" w:cs="Arial"/>
          <w:noProof/>
          <w:color w:val="000000"/>
          <w:kern w:val="2"/>
          <w:sz w:val="24"/>
          <w:szCs w:val="24"/>
          <w:lang w:eastAsia="zh-CN"/>
        </w:rPr>
        <w:t>Non-stimulants atomoxetine or guanfacine will be considered where</w:t>
      </w:r>
      <w:r w:rsidR="00492079" w:rsidRPr="00C15084">
        <w:rPr>
          <w:rFonts w:ascii="Arial" w:eastAsiaTheme="minorEastAsia" w:hAnsi="Arial" w:cs="Arial"/>
          <w:noProof/>
          <w:color w:val="000000"/>
          <w:kern w:val="2"/>
          <w:sz w:val="24"/>
          <w:szCs w:val="24"/>
          <w:lang w:eastAsia="zh-CN"/>
        </w:rPr>
        <w:t>:</w:t>
      </w:r>
      <w:r w:rsidRPr="00C15084">
        <w:rPr>
          <w:rFonts w:ascii="Arial" w:eastAsiaTheme="minorEastAsia" w:hAnsi="Arial" w:cs="Arial"/>
          <w:noProof/>
          <w:color w:val="000000"/>
          <w:kern w:val="2"/>
          <w:sz w:val="24"/>
          <w:szCs w:val="24"/>
          <w:lang w:eastAsia="zh-CN"/>
        </w:rPr>
        <w:t xml:space="preserve"> </w:t>
      </w:r>
    </w:p>
    <w:p w14:paraId="35AB0160" w14:textId="77777777" w:rsidR="004D3B91" w:rsidRPr="00C15084" w:rsidRDefault="004D3B91" w:rsidP="007B1B86">
      <w:pPr>
        <w:pStyle w:val="ListParagraph"/>
        <w:widowControl w:val="0"/>
        <w:numPr>
          <w:ilvl w:val="1"/>
          <w:numId w:val="24"/>
        </w:numPr>
        <w:spacing w:before="120" w:after="120" w:line="240" w:lineRule="auto"/>
        <w:contextualSpacing w:val="0"/>
        <w:rPr>
          <w:rFonts w:ascii="Arial" w:eastAsiaTheme="minorEastAsia" w:hAnsi="Arial" w:cs="Arial"/>
          <w:noProof/>
          <w:color w:val="000000" w:themeColor="text1"/>
          <w:kern w:val="2"/>
          <w:sz w:val="24"/>
          <w:szCs w:val="24"/>
          <w:lang w:eastAsia="zh-CN"/>
        </w:rPr>
      </w:pPr>
      <w:r w:rsidRPr="00C15084">
        <w:rPr>
          <w:rFonts w:ascii="Arial" w:eastAsiaTheme="minorEastAsia" w:hAnsi="Arial" w:cs="Arial"/>
          <w:noProof/>
          <w:color w:val="000000" w:themeColor="text1"/>
          <w:kern w:val="2"/>
          <w:sz w:val="24"/>
          <w:szCs w:val="24"/>
          <w:lang w:eastAsia="zh-CN"/>
        </w:rPr>
        <w:t>The patient ca</w:t>
      </w:r>
      <w:r w:rsidR="00747F37" w:rsidRPr="00C15084">
        <w:rPr>
          <w:rFonts w:ascii="Arial" w:eastAsiaTheme="minorEastAsia" w:hAnsi="Arial" w:cs="Arial"/>
          <w:noProof/>
          <w:color w:val="000000" w:themeColor="text1"/>
          <w:kern w:val="2"/>
          <w:sz w:val="24"/>
          <w:szCs w:val="24"/>
          <w:lang w:eastAsia="zh-CN"/>
        </w:rPr>
        <w:t xml:space="preserve">nnot tolerate methylphenidate </w:t>
      </w:r>
      <w:r w:rsidR="00747F37" w:rsidRPr="00C15084">
        <w:rPr>
          <w:rFonts w:ascii="Arial" w:eastAsiaTheme="minorEastAsia" w:hAnsi="Arial" w:cs="Arial"/>
          <w:noProof/>
          <w:color w:val="00B050"/>
          <w:kern w:val="2"/>
          <w:sz w:val="24"/>
          <w:szCs w:val="24"/>
          <w:lang w:eastAsia="zh-CN"/>
        </w:rPr>
        <w:t>OR</w:t>
      </w:r>
      <w:r w:rsidRPr="00C15084">
        <w:rPr>
          <w:rFonts w:ascii="Arial" w:eastAsiaTheme="minorEastAsia" w:hAnsi="Arial" w:cs="Arial"/>
          <w:noProof/>
          <w:color w:val="000000" w:themeColor="text1"/>
          <w:kern w:val="2"/>
          <w:sz w:val="24"/>
          <w:szCs w:val="24"/>
          <w:lang w:eastAsia="zh-CN"/>
        </w:rPr>
        <w:t xml:space="preserve"> lisdexamfetamine </w:t>
      </w:r>
      <w:r w:rsidR="0079319E" w:rsidRPr="00C15084">
        <w:rPr>
          <w:rFonts w:ascii="Arial" w:eastAsiaTheme="minorEastAsia" w:hAnsi="Arial" w:cs="Arial"/>
          <w:noProof/>
          <w:color w:val="000000" w:themeColor="text1"/>
          <w:kern w:val="2"/>
          <w:sz w:val="24"/>
          <w:szCs w:val="24"/>
          <w:lang w:eastAsia="zh-CN"/>
        </w:rPr>
        <w:t xml:space="preserve"> </w:t>
      </w:r>
      <w:r w:rsidR="0079319E" w:rsidRPr="00C15084">
        <w:rPr>
          <w:rFonts w:ascii="Arial" w:eastAsiaTheme="minorEastAsia" w:hAnsi="Arial" w:cs="Arial"/>
          <w:noProof/>
          <w:color w:val="00B050"/>
          <w:kern w:val="2"/>
          <w:sz w:val="24"/>
          <w:szCs w:val="24"/>
          <w:lang w:eastAsia="zh-CN"/>
        </w:rPr>
        <w:t>OR</w:t>
      </w:r>
    </w:p>
    <w:p w14:paraId="7C6088ED" w14:textId="76A90E16" w:rsidR="00BC735E" w:rsidRPr="00C15084" w:rsidRDefault="00BC735E" w:rsidP="007B1B86">
      <w:pPr>
        <w:pStyle w:val="ListParagraph"/>
        <w:widowControl w:val="0"/>
        <w:numPr>
          <w:ilvl w:val="2"/>
          <w:numId w:val="24"/>
        </w:numPr>
        <w:spacing w:before="120" w:after="120" w:line="240" w:lineRule="auto"/>
        <w:contextualSpacing w:val="0"/>
        <w:rPr>
          <w:rFonts w:ascii="Arial" w:eastAsiaTheme="minorEastAsia" w:hAnsi="Arial" w:cs="Arial"/>
          <w:noProof/>
          <w:kern w:val="2"/>
          <w:sz w:val="24"/>
          <w:szCs w:val="24"/>
          <w:lang w:eastAsia="zh-CN"/>
        </w:rPr>
      </w:pPr>
      <w:r w:rsidRPr="00C15084">
        <w:rPr>
          <w:rFonts w:ascii="Arial" w:eastAsiaTheme="minorEastAsia" w:hAnsi="Arial" w:cs="Arial"/>
          <w:noProof/>
          <w:kern w:val="2"/>
          <w:sz w:val="24"/>
          <w:szCs w:val="24"/>
          <w:lang w:eastAsia="zh-CN"/>
        </w:rPr>
        <w:t>Where a lack of tolerability of the stimulant medication is a class effect, rather than drug specific (see current SPC) then moving to a non stimulant can be considered</w:t>
      </w:r>
      <w:r w:rsidR="001D5E08">
        <w:rPr>
          <w:rFonts w:ascii="Arial" w:eastAsiaTheme="minorEastAsia" w:hAnsi="Arial" w:cs="Arial"/>
          <w:noProof/>
          <w:kern w:val="2"/>
          <w:sz w:val="24"/>
          <w:szCs w:val="24"/>
          <w:lang w:eastAsia="zh-CN"/>
        </w:rPr>
        <w:t>, such as Guanfacine or Atomoxetine</w:t>
      </w:r>
    </w:p>
    <w:p w14:paraId="1E71F020" w14:textId="77777777" w:rsidR="004D3B91" w:rsidRPr="00C15084" w:rsidRDefault="004D3B91" w:rsidP="007B1B86">
      <w:pPr>
        <w:pStyle w:val="ListParagraph"/>
        <w:widowControl w:val="0"/>
        <w:numPr>
          <w:ilvl w:val="1"/>
          <w:numId w:val="24"/>
        </w:numPr>
        <w:spacing w:before="120" w:after="120" w:line="240" w:lineRule="auto"/>
        <w:contextualSpacing w:val="0"/>
        <w:rPr>
          <w:rFonts w:ascii="Arial" w:eastAsiaTheme="minorEastAsia" w:hAnsi="Arial" w:cs="Arial"/>
          <w:noProof/>
          <w:color w:val="000000"/>
          <w:kern w:val="2"/>
          <w:sz w:val="24"/>
          <w:szCs w:val="24"/>
          <w:lang w:eastAsia="zh-CN"/>
        </w:rPr>
      </w:pPr>
      <w:r w:rsidRPr="00C15084">
        <w:rPr>
          <w:rFonts w:ascii="Arial" w:eastAsiaTheme="minorEastAsia" w:hAnsi="Arial" w:cs="Arial"/>
          <w:noProof/>
          <w:color w:val="000000"/>
          <w:kern w:val="2"/>
          <w:sz w:val="24"/>
          <w:szCs w:val="24"/>
          <w:lang w:eastAsia="zh-CN"/>
        </w:rPr>
        <w:t xml:space="preserve">Their symptoms have not responded to separate adequate trials of lisdexamfetamine and methylphenidate, having considered alternative preparations and adequate doses as per NICE guidance </w:t>
      </w:r>
    </w:p>
    <w:p w14:paraId="1415B134" w14:textId="77777777" w:rsidR="00BC735E" w:rsidRPr="00C15084" w:rsidRDefault="00BC735E" w:rsidP="007B1B86">
      <w:pPr>
        <w:pStyle w:val="ListParagraph"/>
        <w:widowControl w:val="0"/>
        <w:numPr>
          <w:ilvl w:val="1"/>
          <w:numId w:val="24"/>
        </w:numPr>
        <w:spacing w:before="120" w:after="120" w:line="240" w:lineRule="auto"/>
        <w:contextualSpacing w:val="0"/>
        <w:rPr>
          <w:rFonts w:ascii="Arial" w:eastAsiaTheme="minorEastAsia" w:hAnsi="Arial" w:cs="Arial"/>
          <w:noProof/>
          <w:color w:val="000000"/>
          <w:kern w:val="2"/>
          <w:sz w:val="24"/>
          <w:szCs w:val="24"/>
          <w:lang w:eastAsia="zh-CN"/>
        </w:rPr>
      </w:pPr>
      <w:r w:rsidRPr="00C15084">
        <w:rPr>
          <w:rFonts w:ascii="Arial" w:eastAsiaTheme="minorEastAsia" w:hAnsi="Arial" w:cs="Arial"/>
          <w:noProof/>
          <w:color w:val="000000"/>
          <w:kern w:val="2"/>
          <w:sz w:val="24"/>
          <w:szCs w:val="24"/>
          <w:lang w:eastAsia="zh-CN"/>
        </w:rPr>
        <w:t>Risks of diversion are considered important</w:t>
      </w:r>
    </w:p>
    <w:p w14:paraId="1F3BC680" w14:textId="77777777" w:rsidR="00705B04" w:rsidRPr="00C15084" w:rsidRDefault="00025F47" w:rsidP="007B1B86">
      <w:pPr>
        <w:pStyle w:val="ListParagraph"/>
        <w:widowControl w:val="0"/>
        <w:numPr>
          <w:ilvl w:val="1"/>
          <w:numId w:val="24"/>
        </w:numPr>
        <w:spacing w:before="120" w:after="120" w:line="240" w:lineRule="auto"/>
        <w:contextualSpacing w:val="0"/>
        <w:rPr>
          <w:rFonts w:ascii="Arial" w:eastAsiaTheme="minorEastAsia" w:hAnsi="Arial" w:cs="Arial"/>
          <w:noProof/>
          <w:kern w:val="2"/>
          <w:sz w:val="24"/>
          <w:szCs w:val="24"/>
          <w:lang w:eastAsia="zh-CN"/>
        </w:rPr>
      </w:pPr>
      <w:r w:rsidRPr="00C15084">
        <w:rPr>
          <w:rFonts w:ascii="Arial" w:eastAsiaTheme="minorEastAsia" w:hAnsi="Arial" w:cs="Arial"/>
          <w:noProof/>
          <w:kern w:val="2"/>
          <w:sz w:val="24"/>
          <w:szCs w:val="24"/>
          <w:lang w:eastAsia="zh-CN"/>
        </w:rPr>
        <w:t xml:space="preserve">The medication they are currently on for other physical reasons is contraindicative especially in children and young people with complex </w:t>
      </w:r>
      <w:r w:rsidR="00705B04" w:rsidRPr="00C15084">
        <w:rPr>
          <w:rFonts w:ascii="Arial" w:eastAsiaTheme="minorEastAsia" w:hAnsi="Arial" w:cs="Arial"/>
          <w:noProof/>
          <w:kern w:val="2"/>
          <w:sz w:val="24"/>
          <w:szCs w:val="24"/>
          <w:lang w:eastAsia="zh-CN"/>
        </w:rPr>
        <w:t>needs and Learning disabilities</w:t>
      </w:r>
    </w:p>
    <w:p w14:paraId="533ACF3A" w14:textId="77777777" w:rsidR="004D3B91" w:rsidRPr="00C15084" w:rsidRDefault="004D3B91" w:rsidP="007B1B86">
      <w:pPr>
        <w:spacing w:before="120" w:after="120" w:line="240" w:lineRule="auto"/>
        <w:ind w:left="363"/>
        <w:rPr>
          <w:rFonts w:ascii="Arial" w:hAnsi="Arial" w:cs="Arial"/>
          <w:b/>
          <w:sz w:val="24"/>
          <w:szCs w:val="24"/>
        </w:rPr>
      </w:pPr>
      <w:r w:rsidRPr="00C15084">
        <w:rPr>
          <w:rFonts w:ascii="Arial" w:hAnsi="Arial" w:cs="Arial"/>
          <w:b/>
          <w:sz w:val="24"/>
          <w:szCs w:val="24"/>
        </w:rPr>
        <w:t>Adults</w:t>
      </w:r>
    </w:p>
    <w:p w14:paraId="122CBCCA" w14:textId="77777777" w:rsidR="004D3B91" w:rsidRPr="00C15084" w:rsidRDefault="004D3B91" w:rsidP="007B1B86">
      <w:pPr>
        <w:spacing w:before="120" w:after="120" w:line="240" w:lineRule="auto"/>
        <w:ind w:left="363"/>
        <w:rPr>
          <w:rFonts w:ascii="Arial" w:hAnsi="Arial" w:cs="Arial"/>
          <w:sz w:val="24"/>
          <w:szCs w:val="24"/>
        </w:rPr>
      </w:pPr>
      <w:r w:rsidRPr="00C15084">
        <w:rPr>
          <w:rFonts w:ascii="Arial" w:hAnsi="Arial" w:cs="Arial"/>
          <w:sz w:val="24"/>
          <w:szCs w:val="24"/>
        </w:rPr>
        <w:t>Pharmacological treatment is the first line treatment option for adults with moderate to severe ADHD.</w:t>
      </w:r>
    </w:p>
    <w:p w14:paraId="59534741" w14:textId="58D1EA7E" w:rsidR="004D3B91" w:rsidRPr="00C15084" w:rsidRDefault="00492079" w:rsidP="007B1B86">
      <w:pPr>
        <w:numPr>
          <w:ilvl w:val="0"/>
          <w:numId w:val="24"/>
        </w:numPr>
        <w:spacing w:before="120" w:after="120" w:line="240" w:lineRule="auto"/>
        <w:ind w:left="1080"/>
        <w:rPr>
          <w:rFonts w:ascii="Arial" w:hAnsi="Arial" w:cs="Arial"/>
          <w:sz w:val="24"/>
          <w:szCs w:val="24"/>
        </w:rPr>
      </w:pPr>
      <w:r w:rsidRPr="00C15084">
        <w:rPr>
          <w:rFonts w:ascii="Arial" w:hAnsi="Arial" w:cs="Arial"/>
          <w:sz w:val="24"/>
          <w:szCs w:val="24"/>
        </w:rPr>
        <w:t xml:space="preserve">Methylphenidate </w:t>
      </w:r>
      <w:r w:rsidR="004D3B91" w:rsidRPr="00C15084">
        <w:rPr>
          <w:rFonts w:ascii="Arial" w:hAnsi="Arial" w:cs="Arial"/>
          <w:sz w:val="24"/>
          <w:szCs w:val="24"/>
        </w:rPr>
        <w:t xml:space="preserve">(short or long acting as appropriate) and </w:t>
      </w:r>
      <w:proofErr w:type="spellStart"/>
      <w:r w:rsidR="004D3B91" w:rsidRPr="00C15084">
        <w:rPr>
          <w:rFonts w:ascii="Arial" w:hAnsi="Arial" w:cs="Arial"/>
          <w:sz w:val="24"/>
          <w:szCs w:val="24"/>
        </w:rPr>
        <w:t>lisdexamfetamine</w:t>
      </w:r>
      <w:proofErr w:type="spellEnd"/>
      <w:r w:rsidR="004D3B91" w:rsidRPr="00C15084">
        <w:rPr>
          <w:rFonts w:ascii="Arial" w:hAnsi="Arial" w:cs="Arial"/>
          <w:sz w:val="24"/>
          <w:szCs w:val="24"/>
        </w:rPr>
        <w:t xml:space="preserve"> will be considered first line as per NICE </w:t>
      </w:r>
      <w:r w:rsidR="002F75D0" w:rsidRPr="00C15084">
        <w:rPr>
          <w:rFonts w:ascii="Arial" w:hAnsi="Arial" w:cs="Arial"/>
          <w:sz w:val="24"/>
          <w:szCs w:val="24"/>
        </w:rPr>
        <w:t>guidance.</w:t>
      </w:r>
    </w:p>
    <w:p w14:paraId="6AE17974" w14:textId="0D77D170" w:rsidR="004D3B91" w:rsidRPr="00C15084" w:rsidRDefault="00492079" w:rsidP="007B1B86">
      <w:pPr>
        <w:numPr>
          <w:ilvl w:val="1"/>
          <w:numId w:val="24"/>
        </w:numPr>
        <w:spacing w:before="120" w:after="120" w:line="240" w:lineRule="auto"/>
        <w:rPr>
          <w:rFonts w:ascii="Arial" w:hAnsi="Arial" w:cs="Arial"/>
          <w:sz w:val="24"/>
          <w:szCs w:val="24"/>
        </w:rPr>
      </w:pPr>
      <w:r w:rsidRPr="00C15084">
        <w:rPr>
          <w:rFonts w:ascii="Arial" w:hAnsi="Arial" w:cs="Arial"/>
          <w:sz w:val="24"/>
          <w:szCs w:val="24"/>
        </w:rPr>
        <w:t xml:space="preserve">The </w:t>
      </w:r>
      <w:r w:rsidR="004D3B91" w:rsidRPr="00C15084">
        <w:rPr>
          <w:rFonts w:ascii="Arial" w:hAnsi="Arial" w:cs="Arial"/>
          <w:sz w:val="24"/>
          <w:szCs w:val="24"/>
        </w:rPr>
        <w:t xml:space="preserve">alternative first line treatment should be considered where the initial choice has proven </w:t>
      </w:r>
      <w:r w:rsidR="002F75D0" w:rsidRPr="00C15084">
        <w:rPr>
          <w:rFonts w:ascii="Arial" w:hAnsi="Arial" w:cs="Arial"/>
          <w:sz w:val="24"/>
          <w:szCs w:val="24"/>
        </w:rPr>
        <w:t>ineffective.</w:t>
      </w:r>
    </w:p>
    <w:p w14:paraId="66FD461B" w14:textId="342D33F8" w:rsidR="004D3B91" w:rsidRPr="00C15084" w:rsidRDefault="00492079" w:rsidP="007B1B86">
      <w:pPr>
        <w:numPr>
          <w:ilvl w:val="1"/>
          <w:numId w:val="24"/>
        </w:numPr>
        <w:spacing w:before="120" w:after="120" w:line="240" w:lineRule="auto"/>
        <w:rPr>
          <w:rFonts w:ascii="Arial" w:hAnsi="Arial" w:cs="Arial"/>
          <w:sz w:val="24"/>
          <w:szCs w:val="24"/>
        </w:rPr>
      </w:pPr>
      <w:proofErr w:type="spellStart"/>
      <w:r w:rsidRPr="00C15084">
        <w:rPr>
          <w:rFonts w:ascii="Arial" w:hAnsi="Arial" w:cs="Arial"/>
          <w:sz w:val="24"/>
          <w:szCs w:val="24"/>
        </w:rPr>
        <w:t>D</w:t>
      </w:r>
      <w:r w:rsidR="004D3B91" w:rsidRPr="00C15084">
        <w:rPr>
          <w:rFonts w:ascii="Arial" w:hAnsi="Arial" w:cs="Arial"/>
          <w:sz w:val="24"/>
          <w:szCs w:val="24"/>
        </w:rPr>
        <w:t>examfetamine</w:t>
      </w:r>
      <w:proofErr w:type="spellEnd"/>
      <w:r w:rsidR="004D3B91" w:rsidRPr="00C15084">
        <w:rPr>
          <w:rFonts w:ascii="Arial" w:hAnsi="Arial" w:cs="Arial"/>
          <w:sz w:val="24"/>
          <w:szCs w:val="24"/>
        </w:rPr>
        <w:t xml:space="preserve"> will be considered where the prolonged release profile of </w:t>
      </w:r>
      <w:proofErr w:type="spellStart"/>
      <w:r w:rsidR="004D3B91" w:rsidRPr="00C15084">
        <w:rPr>
          <w:rFonts w:ascii="Arial" w:hAnsi="Arial" w:cs="Arial"/>
          <w:sz w:val="24"/>
          <w:szCs w:val="24"/>
        </w:rPr>
        <w:t>lisdexamfetamine</w:t>
      </w:r>
      <w:proofErr w:type="spellEnd"/>
      <w:r w:rsidR="004D3B91" w:rsidRPr="00C15084">
        <w:rPr>
          <w:rFonts w:ascii="Arial" w:hAnsi="Arial" w:cs="Arial"/>
          <w:sz w:val="24"/>
          <w:szCs w:val="24"/>
        </w:rPr>
        <w:t xml:space="preserve"> is problematic</w:t>
      </w:r>
      <w:r w:rsidR="004318A0">
        <w:rPr>
          <w:rFonts w:ascii="Arial" w:hAnsi="Arial" w:cs="Arial"/>
          <w:sz w:val="24"/>
          <w:szCs w:val="24"/>
        </w:rPr>
        <w:t xml:space="preserve">, however be aware </w:t>
      </w:r>
      <w:proofErr w:type="spellStart"/>
      <w:r w:rsidR="004318A0">
        <w:rPr>
          <w:rFonts w:ascii="Arial" w:hAnsi="Arial" w:cs="Arial"/>
          <w:sz w:val="24"/>
          <w:szCs w:val="24"/>
        </w:rPr>
        <w:t>dexamfetamine</w:t>
      </w:r>
      <w:proofErr w:type="spellEnd"/>
      <w:r w:rsidR="004318A0">
        <w:rPr>
          <w:rFonts w:ascii="Arial" w:hAnsi="Arial" w:cs="Arial"/>
          <w:sz w:val="24"/>
          <w:szCs w:val="24"/>
        </w:rPr>
        <w:t xml:space="preserve"> is unlicensed in adults.</w:t>
      </w:r>
      <w:r w:rsidR="004D3B91" w:rsidRPr="00C15084">
        <w:rPr>
          <w:rFonts w:ascii="Arial" w:hAnsi="Arial" w:cs="Arial"/>
          <w:sz w:val="24"/>
          <w:szCs w:val="24"/>
        </w:rPr>
        <w:t xml:space="preserve">   </w:t>
      </w:r>
    </w:p>
    <w:p w14:paraId="1D777A77" w14:textId="266CCFAB" w:rsidR="004D3B91" w:rsidRPr="00C15084" w:rsidRDefault="00492079" w:rsidP="007B1B86">
      <w:pPr>
        <w:numPr>
          <w:ilvl w:val="0"/>
          <w:numId w:val="24"/>
        </w:numPr>
        <w:spacing w:before="120" w:after="120" w:line="240" w:lineRule="auto"/>
        <w:ind w:left="1080"/>
        <w:rPr>
          <w:rFonts w:ascii="Arial" w:hAnsi="Arial" w:cs="Arial"/>
          <w:sz w:val="24"/>
          <w:szCs w:val="24"/>
        </w:rPr>
      </w:pPr>
      <w:r w:rsidRPr="00C15084">
        <w:rPr>
          <w:rFonts w:ascii="Arial" w:hAnsi="Arial" w:cs="Arial"/>
          <w:sz w:val="24"/>
          <w:szCs w:val="24"/>
        </w:rPr>
        <w:t xml:space="preserve">Atomoxetine </w:t>
      </w:r>
      <w:r w:rsidR="004D3B91" w:rsidRPr="00C15084">
        <w:rPr>
          <w:rFonts w:ascii="Arial" w:hAnsi="Arial" w:cs="Arial"/>
          <w:sz w:val="24"/>
          <w:szCs w:val="24"/>
        </w:rPr>
        <w:t xml:space="preserve">will </w:t>
      </w:r>
      <w:r w:rsidR="002F75D0" w:rsidRPr="00C15084">
        <w:rPr>
          <w:rFonts w:ascii="Arial" w:hAnsi="Arial" w:cs="Arial"/>
          <w:sz w:val="24"/>
          <w:szCs w:val="24"/>
        </w:rPr>
        <w:t>be considered</w:t>
      </w:r>
      <w:r w:rsidR="004D3B91" w:rsidRPr="00C15084">
        <w:rPr>
          <w:rFonts w:ascii="Arial" w:hAnsi="Arial" w:cs="Arial"/>
          <w:sz w:val="24"/>
          <w:szCs w:val="24"/>
        </w:rPr>
        <w:t xml:space="preserve"> </w:t>
      </w:r>
      <w:proofErr w:type="gramStart"/>
      <w:r w:rsidR="002F75D0" w:rsidRPr="00C15084">
        <w:rPr>
          <w:rFonts w:ascii="Arial" w:hAnsi="Arial" w:cs="Arial"/>
          <w:sz w:val="24"/>
          <w:szCs w:val="24"/>
        </w:rPr>
        <w:t>where</w:t>
      </w:r>
      <w:proofErr w:type="gramEnd"/>
      <w:r w:rsidR="002F75D0" w:rsidRPr="00C15084">
        <w:rPr>
          <w:rFonts w:ascii="Arial" w:hAnsi="Arial" w:cs="Arial"/>
          <w:sz w:val="24"/>
          <w:szCs w:val="24"/>
        </w:rPr>
        <w:t>.</w:t>
      </w:r>
      <w:r w:rsidR="004D3B91" w:rsidRPr="00C15084">
        <w:rPr>
          <w:rFonts w:ascii="Arial" w:hAnsi="Arial" w:cs="Arial"/>
          <w:sz w:val="24"/>
          <w:szCs w:val="24"/>
        </w:rPr>
        <w:t xml:space="preserve"> </w:t>
      </w:r>
    </w:p>
    <w:p w14:paraId="0BA1D5FD" w14:textId="77777777" w:rsidR="004D3B91" w:rsidRPr="00C15084" w:rsidRDefault="004D3B91" w:rsidP="007B1B86">
      <w:pPr>
        <w:numPr>
          <w:ilvl w:val="1"/>
          <w:numId w:val="24"/>
        </w:numPr>
        <w:spacing w:before="120" w:after="120" w:line="240" w:lineRule="auto"/>
        <w:rPr>
          <w:rFonts w:ascii="Arial" w:hAnsi="Arial" w:cs="Arial"/>
          <w:sz w:val="24"/>
          <w:szCs w:val="24"/>
        </w:rPr>
      </w:pPr>
      <w:r w:rsidRPr="00C15084">
        <w:rPr>
          <w:rFonts w:ascii="Arial" w:hAnsi="Arial" w:cs="Arial"/>
          <w:sz w:val="24"/>
          <w:szCs w:val="24"/>
        </w:rPr>
        <w:t xml:space="preserve">The patient cannot tolerate methylphenidate or </w:t>
      </w:r>
      <w:proofErr w:type="spellStart"/>
      <w:proofErr w:type="gramStart"/>
      <w:r w:rsidRPr="00C15084">
        <w:rPr>
          <w:rFonts w:ascii="Arial" w:hAnsi="Arial" w:cs="Arial"/>
          <w:sz w:val="24"/>
          <w:szCs w:val="24"/>
        </w:rPr>
        <w:t>lisdexamfetamine</w:t>
      </w:r>
      <w:proofErr w:type="spellEnd"/>
      <w:proofErr w:type="gramEnd"/>
      <w:r w:rsidRPr="00C15084">
        <w:rPr>
          <w:rFonts w:ascii="Arial" w:hAnsi="Arial" w:cs="Arial"/>
          <w:sz w:val="24"/>
          <w:szCs w:val="24"/>
        </w:rPr>
        <w:t xml:space="preserve"> </w:t>
      </w:r>
    </w:p>
    <w:p w14:paraId="5A9B0B92" w14:textId="59B99D74" w:rsidR="00BC735E" w:rsidRPr="00C15084" w:rsidRDefault="004D3B91" w:rsidP="007B1B86">
      <w:pPr>
        <w:numPr>
          <w:ilvl w:val="1"/>
          <w:numId w:val="24"/>
        </w:numPr>
        <w:spacing w:before="120" w:after="120" w:line="240" w:lineRule="auto"/>
        <w:rPr>
          <w:rFonts w:ascii="Arial" w:hAnsi="Arial" w:cs="Arial"/>
          <w:sz w:val="24"/>
          <w:szCs w:val="24"/>
        </w:rPr>
      </w:pPr>
      <w:r w:rsidRPr="00C15084">
        <w:rPr>
          <w:rFonts w:ascii="Arial" w:hAnsi="Arial" w:cs="Arial"/>
          <w:sz w:val="24"/>
          <w:szCs w:val="24"/>
        </w:rPr>
        <w:t xml:space="preserve">Their symptoms have not responded to separate adequate trials of </w:t>
      </w:r>
      <w:proofErr w:type="spellStart"/>
      <w:r w:rsidRPr="00C15084">
        <w:rPr>
          <w:rFonts w:ascii="Arial" w:hAnsi="Arial" w:cs="Arial"/>
          <w:sz w:val="24"/>
          <w:szCs w:val="24"/>
        </w:rPr>
        <w:t>lisdexamfetamine</w:t>
      </w:r>
      <w:proofErr w:type="spellEnd"/>
      <w:r w:rsidRPr="00C15084">
        <w:rPr>
          <w:rFonts w:ascii="Arial" w:hAnsi="Arial" w:cs="Arial"/>
          <w:sz w:val="24"/>
          <w:szCs w:val="24"/>
        </w:rPr>
        <w:t xml:space="preserve"> and methylphenidate, having considered alternative preparations and adequate </w:t>
      </w:r>
      <w:r w:rsidR="002F75D0" w:rsidRPr="00C15084">
        <w:rPr>
          <w:rFonts w:ascii="Arial" w:hAnsi="Arial" w:cs="Arial"/>
          <w:sz w:val="24"/>
          <w:szCs w:val="24"/>
        </w:rPr>
        <w:t>doses.</w:t>
      </w:r>
      <w:r w:rsidRPr="00C15084">
        <w:rPr>
          <w:rFonts w:ascii="Arial" w:hAnsi="Arial" w:cs="Arial"/>
          <w:sz w:val="24"/>
          <w:szCs w:val="24"/>
        </w:rPr>
        <w:t xml:space="preserve"> </w:t>
      </w:r>
    </w:p>
    <w:p w14:paraId="0917D6E1" w14:textId="77777777" w:rsidR="004D3B91" w:rsidRPr="00C15084" w:rsidRDefault="00BC735E" w:rsidP="007B1B86">
      <w:pPr>
        <w:pStyle w:val="ListParagraph"/>
        <w:numPr>
          <w:ilvl w:val="0"/>
          <w:numId w:val="24"/>
        </w:numPr>
        <w:spacing w:before="120" w:after="120" w:line="240" w:lineRule="auto"/>
        <w:ind w:left="1080"/>
        <w:contextualSpacing w:val="0"/>
        <w:rPr>
          <w:rFonts w:ascii="Arial" w:hAnsi="Arial" w:cs="Arial"/>
          <w:sz w:val="24"/>
          <w:szCs w:val="24"/>
        </w:rPr>
      </w:pPr>
      <w:r w:rsidRPr="00C15084">
        <w:rPr>
          <w:rFonts w:ascii="Arial" w:hAnsi="Arial" w:cs="Arial"/>
          <w:sz w:val="24"/>
          <w:szCs w:val="24"/>
        </w:rPr>
        <w:lastRenderedPageBreak/>
        <w:t>Guanfacine may be considered:</w:t>
      </w:r>
    </w:p>
    <w:p w14:paraId="729B2C5C" w14:textId="10B7A14F" w:rsidR="00BC735E" w:rsidRPr="00C15084" w:rsidRDefault="00BC735E" w:rsidP="007B1B86">
      <w:pPr>
        <w:pStyle w:val="ListParagraph"/>
        <w:numPr>
          <w:ilvl w:val="1"/>
          <w:numId w:val="24"/>
        </w:numPr>
        <w:spacing w:before="120" w:after="120" w:line="240" w:lineRule="auto"/>
        <w:contextualSpacing w:val="0"/>
        <w:rPr>
          <w:rFonts w:ascii="Arial" w:hAnsi="Arial" w:cs="Arial"/>
          <w:sz w:val="24"/>
          <w:szCs w:val="24"/>
        </w:rPr>
      </w:pPr>
      <w:r w:rsidRPr="00C15084">
        <w:rPr>
          <w:rFonts w:ascii="Arial" w:hAnsi="Arial" w:cs="Arial"/>
          <w:sz w:val="24"/>
          <w:szCs w:val="24"/>
        </w:rPr>
        <w:t xml:space="preserve">In patients who are transitioning </w:t>
      </w:r>
      <w:r w:rsidR="002F75D0" w:rsidRPr="00C15084">
        <w:rPr>
          <w:rFonts w:ascii="Arial" w:hAnsi="Arial" w:cs="Arial"/>
          <w:sz w:val="24"/>
          <w:szCs w:val="24"/>
        </w:rPr>
        <w:t>into</w:t>
      </w:r>
      <w:r w:rsidRPr="00C15084">
        <w:rPr>
          <w:rFonts w:ascii="Arial" w:hAnsi="Arial" w:cs="Arial"/>
          <w:sz w:val="24"/>
          <w:szCs w:val="24"/>
        </w:rPr>
        <w:t xml:space="preserve"> adult services and currently on Guanfacine.  These patients should be assessed by the specialist.  Guanfacine is not licensed in adults.  Where after due consideration the benefits of continuing it outweigh the risks of changing treatment, this must be documented and discussed with the patient/carer that is an unlicensed indication, and that arrangements will need to be organised for ongoing supply, as this will not be picked up under shared care.</w:t>
      </w:r>
    </w:p>
    <w:p w14:paraId="4601AF38" w14:textId="77777777" w:rsidR="004D3B91" w:rsidRPr="00C15084" w:rsidRDefault="004D3B91" w:rsidP="007B1B86">
      <w:pPr>
        <w:spacing w:before="120" w:after="120" w:line="240" w:lineRule="auto"/>
        <w:ind w:left="363"/>
        <w:rPr>
          <w:rFonts w:ascii="Arial" w:hAnsi="Arial" w:cs="Arial"/>
          <w:sz w:val="24"/>
          <w:szCs w:val="24"/>
        </w:rPr>
      </w:pPr>
      <w:r w:rsidRPr="00C15084">
        <w:rPr>
          <w:rFonts w:ascii="Arial" w:hAnsi="Arial" w:cs="Arial"/>
          <w:sz w:val="24"/>
          <w:szCs w:val="24"/>
        </w:rPr>
        <w:t>Where shared care is in place initial dose stabilisation needs to be undertaken by the Consultant before prescribing can be passed to Primary Care. However, it is acknowledged that following a period of dose stabilisation that there may be an occasional requirement for the dosage of medication to be adjusted for some patients.</w:t>
      </w:r>
    </w:p>
    <w:p w14:paraId="49ABE377" w14:textId="77777777" w:rsidR="004D3B91" w:rsidRPr="00C15084" w:rsidRDefault="00705B04" w:rsidP="007B1B86">
      <w:pPr>
        <w:widowControl w:val="0"/>
        <w:spacing w:before="120" w:after="120" w:line="240" w:lineRule="auto"/>
        <w:ind w:left="363"/>
        <w:rPr>
          <w:rFonts w:ascii="Arial" w:eastAsiaTheme="minorEastAsia" w:hAnsi="Arial" w:cs="Arial"/>
          <w:b/>
          <w:noProof/>
          <w:color w:val="000000"/>
          <w:kern w:val="2"/>
          <w:sz w:val="24"/>
          <w:szCs w:val="24"/>
          <w:lang w:eastAsia="zh-CN"/>
        </w:rPr>
      </w:pPr>
      <w:r w:rsidRPr="00C15084">
        <w:rPr>
          <w:rFonts w:ascii="Arial" w:eastAsiaTheme="minorEastAsia" w:hAnsi="Arial" w:cs="Arial"/>
          <w:b/>
          <w:noProof/>
          <w:color w:val="000000"/>
          <w:kern w:val="2"/>
          <w:sz w:val="24"/>
          <w:szCs w:val="24"/>
          <w:lang w:eastAsia="zh-CN"/>
        </w:rPr>
        <w:t>Melatonin for Sleep disorders in children</w:t>
      </w:r>
    </w:p>
    <w:p w14:paraId="62422A30" w14:textId="77777777" w:rsidR="00705B04" w:rsidRPr="00C15084" w:rsidRDefault="00705B04" w:rsidP="007B1B86">
      <w:pPr>
        <w:widowControl w:val="0"/>
        <w:spacing w:before="120" w:after="120" w:line="240" w:lineRule="auto"/>
        <w:ind w:left="363"/>
        <w:rPr>
          <w:rFonts w:ascii="Arial" w:eastAsiaTheme="minorEastAsia" w:hAnsi="Arial" w:cs="Arial"/>
          <w:noProof/>
          <w:color w:val="000000"/>
          <w:kern w:val="2"/>
          <w:sz w:val="24"/>
          <w:szCs w:val="24"/>
          <w:lang w:eastAsia="zh-CN"/>
        </w:rPr>
      </w:pPr>
      <w:r w:rsidRPr="00C15084">
        <w:rPr>
          <w:rFonts w:ascii="Arial" w:eastAsiaTheme="minorEastAsia" w:hAnsi="Arial" w:cs="Arial"/>
          <w:noProof/>
          <w:color w:val="000000"/>
          <w:kern w:val="2"/>
          <w:sz w:val="24"/>
          <w:szCs w:val="24"/>
          <w:lang w:eastAsia="zh-CN"/>
        </w:rPr>
        <w:t>Inpatients with ADHD and Austism Spectrum disorder with significant sleep disorder Melatonin may be considered as a treatment option.</w:t>
      </w:r>
    </w:p>
    <w:p w14:paraId="1F596B1A" w14:textId="77777777" w:rsidR="00705B04" w:rsidRPr="00C15084" w:rsidRDefault="00705B04" w:rsidP="007B1B86">
      <w:pPr>
        <w:widowControl w:val="0"/>
        <w:spacing w:before="120" w:after="120" w:line="240" w:lineRule="auto"/>
        <w:ind w:left="363"/>
        <w:rPr>
          <w:rFonts w:ascii="Arial" w:eastAsiaTheme="minorEastAsia" w:hAnsi="Arial" w:cs="Arial"/>
          <w:noProof/>
          <w:color w:val="000000"/>
          <w:kern w:val="2"/>
          <w:sz w:val="24"/>
          <w:szCs w:val="24"/>
          <w:lang w:eastAsia="zh-CN"/>
        </w:rPr>
      </w:pPr>
      <w:r w:rsidRPr="00C15084">
        <w:rPr>
          <w:rFonts w:ascii="Arial" w:eastAsiaTheme="minorEastAsia" w:hAnsi="Arial" w:cs="Arial"/>
          <w:noProof/>
          <w:color w:val="000000"/>
          <w:kern w:val="2"/>
          <w:sz w:val="24"/>
          <w:szCs w:val="24"/>
          <w:lang w:eastAsia="zh-CN"/>
        </w:rPr>
        <w:t>The medication of choice is Circadin 2mg MR tablets, this is an off label use of this medication, and this must be documented and dscussed with the patient/carer.  Written information should be given to the patient/carer.  It can be crushed when immediate release melatonin is required.</w:t>
      </w:r>
    </w:p>
    <w:p w14:paraId="446E7AFE" w14:textId="77777777" w:rsidR="00705B04" w:rsidRPr="00C15084" w:rsidRDefault="00705B04" w:rsidP="007B1B86">
      <w:pPr>
        <w:widowControl w:val="0"/>
        <w:spacing w:before="120" w:after="120" w:line="240" w:lineRule="auto"/>
        <w:ind w:left="363"/>
        <w:rPr>
          <w:rFonts w:ascii="Arial" w:eastAsiaTheme="minorEastAsia" w:hAnsi="Arial" w:cs="Arial"/>
          <w:b/>
          <w:noProof/>
          <w:color w:val="000000"/>
          <w:kern w:val="2"/>
          <w:sz w:val="24"/>
          <w:szCs w:val="24"/>
          <w:lang w:eastAsia="zh-CN"/>
        </w:rPr>
      </w:pPr>
      <w:r w:rsidRPr="00C15084">
        <w:rPr>
          <w:rFonts w:ascii="Arial" w:eastAsiaTheme="minorEastAsia" w:hAnsi="Arial" w:cs="Arial"/>
          <w:b/>
          <w:noProof/>
          <w:color w:val="000000"/>
          <w:kern w:val="2"/>
          <w:sz w:val="24"/>
          <w:szCs w:val="24"/>
          <w:lang w:eastAsia="zh-CN"/>
        </w:rPr>
        <w:t>Potential indications and advice:</w:t>
      </w:r>
    </w:p>
    <w:p w14:paraId="5D71451A" w14:textId="77777777" w:rsidR="00705B04" w:rsidRPr="00C15084" w:rsidRDefault="00705B04" w:rsidP="007B1B86">
      <w:pPr>
        <w:pStyle w:val="ListParagraph"/>
        <w:widowControl w:val="0"/>
        <w:numPr>
          <w:ilvl w:val="0"/>
          <w:numId w:val="33"/>
        </w:numPr>
        <w:spacing w:before="120" w:after="120" w:line="240" w:lineRule="auto"/>
        <w:ind w:left="1077" w:hanging="357"/>
        <w:contextualSpacing w:val="0"/>
        <w:rPr>
          <w:rFonts w:ascii="Arial" w:eastAsiaTheme="minorEastAsia" w:hAnsi="Arial" w:cs="Arial"/>
          <w:noProof/>
          <w:color w:val="000000"/>
          <w:kern w:val="2"/>
          <w:sz w:val="24"/>
          <w:szCs w:val="24"/>
          <w:lang w:eastAsia="zh-CN"/>
        </w:rPr>
      </w:pPr>
      <w:r w:rsidRPr="00C15084">
        <w:rPr>
          <w:rFonts w:ascii="Arial" w:eastAsiaTheme="minorEastAsia" w:hAnsi="Arial" w:cs="Arial"/>
          <w:noProof/>
          <w:color w:val="000000"/>
          <w:kern w:val="2"/>
          <w:sz w:val="24"/>
          <w:szCs w:val="24"/>
          <w:lang w:eastAsia="zh-CN"/>
        </w:rPr>
        <w:t>Severe sleep disorders in neurodevelopmental or psychiatric disorders.</w:t>
      </w:r>
    </w:p>
    <w:p w14:paraId="5D74E6B0" w14:textId="77777777" w:rsidR="00705B04" w:rsidRPr="00C15084" w:rsidRDefault="00705B04" w:rsidP="007B1B86">
      <w:pPr>
        <w:pStyle w:val="ListParagraph"/>
        <w:widowControl w:val="0"/>
        <w:numPr>
          <w:ilvl w:val="0"/>
          <w:numId w:val="33"/>
        </w:numPr>
        <w:spacing w:before="120" w:after="120" w:line="240" w:lineRule="auto"/>
        <w:ind w:left="1077" w:hanging="357"/>
        <w:contextualSpacing w:val="0"/>
        <w:rPr>
          <w:rFonts w:ascii="Arial" w:eastAsiaTheme="minorEastAsia" w:hAnsi="Arial" w:cs="Arial"/>
          <w:noProof/>
          <w:color w:val="000000"/>
          <w:kern w:val="2"/>
          <w:sz w:val="24"/>
          <w:szCs w:val="24"/>
          <w:lang w:eastAsia="zh-CN"/>
        </w:rPr>
      </w:pPr>
      <w:r w:rsidRPr="00C15084">
        <w:rPr>
          <w:rFonts w:ascii="Arial" w:eastAsiaTheme="minorEastAsia" w:hAnsi="Arial" w:cs="Arial"/>
          <w:noProof/>
          <w:color w:val="000000"/>
          <w:kern w:val="2"/>
          <w:sz w:val="24"/>
          <w:szCs w:val="24"/>
          <w:lang w:eastAsia="zh-CN"/>
        </w:rPr>
        <w:t>Behavioural strategies have had limited or no success.</w:t>
      </w:r>
    </w:p>
    <w:p w14:paraId="68C2CB85" w14:textId="77777777" w:rsidR="00705B04" w:rsidRPr="00C15084" w:rsidRDefault="00705B04" w:rsidP="007B1B86">
      <w:pPr>
        <w:pStyle w:val="ListParagraph"/>
        <w:widowControl w:val="0"/>
        <w:numPr>
          <w:ilvl w:val="0"/>
          <w:numId w:val="33"/>
        </w:numPr>
        <w:spacing w:before="120" w:after="120" w:line="240" w:lineRule="auto"/>
        <w:ind w:left="1077" w:hanging="357"/>
        <w:contextualSpacing w:val="0"/>
        <w:rPr>
          <w:rFonts w:ascii="Arial" w:eastAsiaTheme="minorEastAsia" w:hAnsi="Arial" w:cs="Arial"/>
          <w:noProof/>
          <w:color w:val="000000"/>
          <w:kern w:val="2"/>
          <w:sz w:val="24"/>
          <w:szCs w:val="24"/>
          <w:lang w:eastAsia="zh-CN"/>
        </w:rPr>
      </w:pPr>
      <w:r w:rsidRPr="00C15084">
        <w:rPr>
          <w:rFonts w:ascii="Arial" w:eastAsiaTheme="minorEastAsia" w:hAnsi="Arial" w:cs="Arial"/>
          <w:noProof/>
          <w:color w:val="000000"/>
          <w:kern w:val="2"/>
          <w:sz w:val="24"/>
          <w:szCs w:val="24"/>
          <w:lang w:eastAsia="zh-CN"/>
        </w:rPr>
        <w:t>Significant adverse effects on the child / family prior to work by an appropriate agency (see below).</w:t>
      </w:r>
    </w:p>
    <w:p w14:paraId="1406A880" w14:textId="77777777" w:rsidR="00705B04" w:rsidRPr="00C15084" w:rsidRDefault="00705B04" w:rsidP="007B1B86">
      <w:pPr>
        <w:pStyle w:val="ListParagraph"/>
        <w:widowControl w:val="0"/>
        <w:numPr>
          <w:ilvl w:val="0"/>
          <w:numId w:val="33"/>
        </w:numPr>
        <w:spacing w:before="120" w:after="120" w:line="240" w:lineRule="auto"/>
        <w:ind w:left="1077" w:hanging="357"/>
        <w:contextualSpacing w:val="0"/>
        <w:rPr>
          <w:rFonts w:ascii="Arial" w:eastAsiaTheme="minorEastAsia" w:hAnsi="Arial" w:cs="Arial"/>
          <w:noProof/>
          <w:color w:val="000000"/>
          <w:kern w:val="2"/>
          <w:sz w:val="24"/>
          <w:szCs w:val="24"/>
          <w:lang w:eastAsia="zh-CN"/>
        </w:rPr>
      </w:pPr>
      <w:r w:rsidRPr="00C15084">
        <w:rPr>
          <w:rFonts w:ascii="Arial" w:eastAsiaTheme="minorEastAsia" w:hAnsi="Arial" w:cs="Arial"/>
          <w:noProof/>
          <w:color w:val="000000"/>
          <w:kern w:val="2"/>
          <w:sz w:val="24"/>
          <w:szCs w:val="24"/>
          <w:lang w:eastAsia="zh-CN"/>
        </w:rPr>
        <w:t>Short term use (6 months)</w:t>
      </w:r>
    </w:p>
    <w:p w14:paraId="5E7B01A7" w14:textId="77777777" w:rsidR="00705B04" w:rsidRPr="00C15084" w:rsidRDefault="00705B04" w:rsidP="007B1B86">
      <w:pPr>
        <w:pStyle w:val="ListParagraph"/>
        <w:widowControl w:val="0"/>
        <w:numPr>
          <w:ilvl w:val="0"/>
          <w:numId w:val="33"/>
        </w:numPr>
        <w:spacing w:before="120" w:after="120" w:line="240" w:lineRule="auto"/>
        <w:ind w:left="1077" w:hanging="357"/>
        <w:contextualSpacing w:val="0"/>
        <w:rPr>
          <w:rFonts w:ascii="Arial" w:eastAsiaTheme="minorEastAsia" w:hAnsi="Arial" w:cs="Arial"/>
          <w:noProof/>
          <w:color w:val="000000"/>
          <w:kern w:val="2"/>
          <w:sz w:val="24"/>
          <w:szCs w:val="24"/>
          <w:lang w:eastAsia="zh-CN"/>
        </w:rPr>
      </w:pPr>
      <w:r w:rsidRPr="00C15084">
        <w:rPr>
          <w:rFonts w:ascii="Arial" w:eastAsiaTheme="minorEastAsia" w:hAnsi="Arial" w:cs="Arial"/>
          <w:noProof/>
          <w:color w:val="000000"/>
          <w:kern w:val="2"/>
          <w:sz w:val="24"/>
          <w:szCs w:val="24"/>
          <w:lang w:eastAsia="zh-CN"/>
        </w:rPr>
        <w:t>To aid work on sleep hygiene by health visitor, nursery nurse, school nurse,</w:t>
      </w:r>
    </w:p>
    <w:p w14:paraId="2FFB44A0" w14:textId="77777777" w:rsidR="00705B04" w:rsidRPr="00C15084" w:rsidRDefault="00705B04" w:rsidP="007B1B86">
      <w:pPr>
        <w:pStyle w:val="ListParagraph"/>
        <w:widowControl w:val="0"/>
        <w:numPr>
          <w:ilvl w:val="0"/>
          <w:numId w:val="33"/>
        </w:numPr>
        <w:spacing w:before="120" w:after="120" w:line="240" w:lineRule="auto"/>
        <w:ind w:left="1077" w:hanging="357"/>
        <w:contextualSpacing w:val="0"/>
        <w:rPr>
          <w:rFonts w:ascii="Arial" w:eastAsiaTheme="minorEastAsia" w:hAnsi="Arial" w:cs="Arial"/>
          <w:noProof/>
          <w:color w:val="000000"/>
          <w:kern w:val="2"/>
          <w:sz w:val="24"/>
          <w:szCs w:val="24"/>
          <w:lang w:eastAsia="zh-CN"/>
        </w:rPr>
      </w:pPr>
      <w:r w:rsidRPr="00C15084">
        <w:rPr>
          <w:rFonts w:ascii="Arial" w:eastAsiaTheme="minorEastAsia" w:hAnsi="Arial" w:cs="Arial"/>
          <w:noProof/>
          <w:color w:val="000000"/>
          <w:kern w:val="2"/>
          <w:sz w:val="24"/>
          <w:szCs w:val="24"/>
          <w:lang w:eastAsia="zh-CN"/>
        </w:rPr>
        <w:t>A small number of children may need Circadin</w:t>
      </w:r>
      <w:r w:rsidRPr="00C15084">
        <w:rPr>
          <w:rFonts w:ascii="Arial" w:eastAsiaTheme="minorEastAsia" w:hAnsi="Arial" w:cs="Arial"/>
          <w:noProof/>
          <w:color w:val="000000"/>
          <w:kern w:val="2"/>
          <w:sz w:val="24"/>
          <w:szCs w:val="24"/>
          <w:vertAlign w:val="superscript"/>
          <w:lang w:eastAsia="zh-CN"/>
        </w:rPr>
        <w:t>®</w:t>
      </w:r>
      <w:r w:rsidRPr="00C15084">
        <w:rPr>
          <w:rFonts w:ascii="Arial" w:eastAsiaTheme="minorEastAsia" w:hAnsi="Arial" w:cs="Arial"/>
          <w:noProof/>
          <w:color w:val="000000"/>
          <w:kern w:val="2"/>
          <w:sz w:val="24"/>
          <w:szCs w:val="24"/>
          <w:lang w:eastAsia="zh-CN"/>
        </w:rPr>
        <w:t xml:space="preserve"> long term, reviewed every 12 months</w:t>
      </w:r>
    </w:p>
    <w:p w14:paraId="5584899D" w14:textId="77777777" w:rsidR="00705B04" w:rsidRPr="00C15084" w:rsidRDefault="00705B04" w:rsidP="007B1B86">
      <w:pPr>
        <w:widowControl w:val="0"/>
        <w:spacing w:before="120" w:after="120" w:line="240" w:lineRule="auto"/>
        <w:ind w:left="363"/>
        <w:rPr>
          <w:rFonts w:ascii="Arial" w:eastAsiaTheme="minorEastAsia" w:hAnsi="Arial" w:cs="Arial"/>
          <w:b/>
          <w:noProof/>
          <w:color w:val="000000"/>
          <w:kern w:val="2"/>
          <w:sz w:val="24"/>
          <w:szCs w:val="24"/>
          <w:lang w:eastAsia="zh-CN"/>
        </w:rPr>
      </w:pPr>
      <w:r w:rsidRPr="00C15084">
        <w:rPr>
          <w:rFonts w:ascii="Arial" w:eastAsiaTheme="minorEastAsia" w:hAnsi="Arial" w:cs="Arial"/>
          <w:b/>
          <w:noProof/>
          <w:color w:val="000000"/>
          <w:kern w:val="2"/>
          <w:sz w:val="24"/>
          <w:szCs w:val="24"/>
          <w:lang w:eastAsia="zh-CN"/>
        </w:rPr>
        <w:t>Guidance:</w:t>
      </w:r>
    </w:p>
    <w:p w14:paraId="119AC268" w14:textId="05E10476" w:rsidR="00705B04" w:rsidRPr="00C15084" w:rsidRDefault="00705B04" w:rsidP="007B1B86">
      <w:pPr>
        <w:widowControl w:val="0"/>
        <w:spacing w:before="120" w:after="120" w:line="240" w:lineRule="auto"/>
        <w:ind w:left="363"/>
        <w:rPr>
          <w:rFonts w:ascii="Arial" w:eastAsiaTheme="minorEastAsia" w:hAnsi="Arial" w:cs="Arial"/>
          <w:noProof/>
          <w:color w:val="000000"/>
          <w:kern w:val="2"/>
          <w:sz w:val="24"/>
          <w:szCs w:val="24"/>
          <w:lang w:eastAsia="zh-CN"/>
        </w:rPr>
      </w:pPr>
      <w:r w:rsidRPr="00C15084">
        <w:rPr>
          <w:rFonts w:ascii="Arial" w:eastAsiaTheme="minorEastAsia" w:hAnsi="Arial" w:cs="Arial"/>
          <w:b/>
          <w:bCs/>
          <w:noProof/>
          <w:color w:val="000000"/>
          <w:kern w:val="2"/>
          <w:sz w:val="24"/>
          <w:szCs w:val="24"/>
          <w:lang w:eastAsia="zh-CN"/>
        </w:rPr>
        <w:t>Dose:</w:t>
      </w:r>
      <w:r w:rsidRPr="00C15084">
        <w:rPr>
          <w:rFonts w:ascii="Arial" w:hAnsi="Arial" w:cs="Arial"/>
          <w:sz w:val="24"/>
          <w:szCs w:val="24"/>
        </w:rPr>
        <w:t xml:space="preserve"> </w:t>
      </w:r>
      <w:r w:rsidRPr="00C15084">
        <w:rPr>
          <w:rFonts w:ascii="Arial" w:eastAsiaTheme="minorEastAsia" w:hAnsi="Arial" w:cs="Arial"/>
          <w:noProof/>
          <w:color w:val="000000"/>
          <w:kern w:val="2"/>
          <w:sz w:val="24"/>
          <w:szCs w:val="24"/>
          <w:lang w:eastAsia="zh-CN"/>
        </w:rPr>
        <w:t xml:space="preserve">Start at 2mg given before going to bed. Crushed tablets are given 30 minutes before bed and whole tablets are given an hour before bedtime. Increase if necessary after 1 - 2 weeks by 2mg to a maximum of 10mg. </w:t>
      </w:r>
    </w:p>
    <w:tbl>
      <w:tblPr>
        <w:tblStyle w:val="TableGrid"/>
        <w:tblW w:w="0" w:type="auto"/>
        <w:tblInd w:w="421" w:type="dxa"/>
        <w:tblLook w:val="04A0" w:firstRow="1" w:lastRow="0" w:firstColumn="1" w:lastColumn="0" w:noHBand="0" w:noVBand="1"/>
      </w:tblPr>
      <w:tblGrid>
        <w:gridCol w:w="2957"/>
        <w:gridCol w:w="6676"/>
      </w:tblGrid>
      <w:tr w:rsidR="00705B04" w:rsidRPr="00492079" w14:paraId="3692F8B1" w14:textId="77777777" w:rsidTr="002F75D0">
        <w:tc>
          <w:tcPr>
            <w:tcW w:w="2957" w:type="dxa"/>
          </w:tcPr>
          <w:p w14:paraId="7920BFE2" w14:textId="77777777" w:rsidR="00705B04" w:rsidRPr="00492079" w:rsidRDefault="00705B04" w:rsidP="007B1B86">
            <w:pPr>
              <w:widowControl w:val="0"/>
              <w:spacing w:before="60" w:after="60"/>
              <w:rPr>
                <w:rFonts w:ascii="Arial" w:eastAsiaTheme="minorEastAsia" w:hAnsi="Arial" w:cs="Arial"/>
                <w:noProof/>
                <w:color w:val="000000"/>
                <w:spacing w:val="-2"/>
                <w:kern w:val="2"/>
                <w:sz w:val="24"/>
                <w:szCs w:val="24"/>
                <w:lang w:eastAsia="zh-CN"/>
              </w:rPr>
            </w:pPr>
            <w:r w:rsidRPr="00492079">
              <w:rPr>
                <w:rFonts w:ascii="Arial" w:eastAsiaTheme="minorEastAsia" w:hAnsi="Arial" w:cs="Arial"/>
                <w:noProof/>
                <w:color w:val="000000"/>
                <w:spacing w:val="-2"/>
                <w:kern w:val="2"/>
                <w:sz w:val="24"/>
                <w:szCs w:val="24"/>
                <w:lang w:eastAsia="zh-CN"/>
              </w:rPr>
              <w:t>Sleep Initiation</w:t>
            </w:r>
          </w:p>
        </w:tc>
        <w:tc>
          <w:tcPr>
            <w:tcW w:w="6676" w:type="dxa"/>
          </w:tcPr>
          <w:p w14:paraId="786E3277" w14:textId="77777777" w:rsidR="00705B04" w:rsidRPr="00492079" w:rsidRDefault="00705B04" w:rsidP="007B1B86">
            <w:pPr>
              <w:widowControl w:val="0"/>
              <w:spacing w:before="60" w:after="60"/>
              <w:rPr>
                <w:rFonts w:ascii="Arial" w:eastAsiaTheme="minorEastAsia" w:hAnsi="Arial" w:cs="Arial"/>
                <w:noProof/>
                <w:color w:val="000000"/>
                <w:spacing w:val="-2"/>
                <w:kern w:val="2"/>
                <w:sz w:val="24"/>
                <w:szCs w:val="24"/>
                <w:lang w:eastAsia="zh-CN"/>
              </w:rPr>
            </w:pPr>
            <w:r w:rsidRPr="00492079">
              <w:rPr>
                <w:rFonts w:ascii="Arial" w:eastAsiaTheme="minorEastAsia" w:hAnsi="Arial" w:cs="Arial"/>
                <w:noProof/>
                <w:color w:val="000000"/>
                <w:spacing w:val="-2"/>
                <w:kern w:val="2"/>
                <w:sz w:val="24"/>
                <w:szCs w:val="24"/>
                <w:lang w:eastAsia="zh-CN"/>
              </w:rPr>
              <w:t>Use Circadin® tablets crushed (to render it standard release) and mixed with clear fluids, juice, milk or eg yoghurt.-.</w:t>
            </w:r>
          </w:p>
        </w:tc>
      </w:tr>
      <w:tr w:rsidR="00705B04" w:rsidRPr="00492079" w14:paraId="408A2869" w14:textId="77777777" w:rsidTr="002F75D0">
        <w:trPr>
          <w:trHeight w:val="699"/>
        </w:trPr>
        <w:tc>
          <w:tcPr>
            <w:tcW w:w="2957" w:type="dxa"/>
          </w:tcPr>
          <w:p w14:paraId="3F5B62B6" w14:textId="77777777" w:rsidR="00705B04" w:rsidRPr="00492079" w:rsidRDefault="00705B04" w:rsidP="007B1B86">
            <w:pPr>
              <w:widowControl w:val="0"/>
              <w:spacing w:before="60" w:after="60"/>
              <w:rPr>
                <w:rFonts w:ascii="Arial" w:eastAsiaTheme="minorEastAsia" w:hAnsi="Arial" w:cs="Arial"/>
                <w:noProof/>
                <w:color w:val="000000"/>
                <w:spacing w:val="-2"/>
                <w:kern w:val="2"/>
                <w:sz w:val="24"/>
                <w:szCs w:val="24"/>
                <w:lang w:eastAsia="zh-CN"/>
              </w:rPr>
            </w:pPr>
            <w:r w:rsidRPr="00492079">
              <w:rPr>
                <w:rFonts w:ascii="Arial" w:eastAsiaTheme="minorEastAsia" w:hAnsi="Arial" w:cs="Arial"/>
                <w:noProof/>
                <w:color w:val="000000"/>
                <w:spacing w:val="-2"/>
                <w:kern w:val="2"/>
                <w:sz w:val="24"/>
                <w:szCs w:val="24"/>
                <w:lang w:eastAsia="zh-CN"/>
              </w:rPr>
              <w:t>Early Morning wakening and sleep maintenace</w:t>
            </w:r>
          </w:p>
        </w:tc>
        <w:tc>
          <w:tcPr>
            <w:tcW w:w="6676" w:type="dxa"/>
          </w:tcPr>
          <w:p w14:paraId="2FE6B3BD" w14:textId="77777777" w:rsidR="00705B04" w:rsidRPr="00492079" w:rsidRDefault="00705B04" w:rsidP="007B1B86">
            <w:pPr>
              <w:widowControl w:val="0"/>
              <w:spacing w:before="60" w:after="60"/>
              <w:rPr>
                <w:rFonts w:ascii="Arial" w:eastAsiaTheme="minorEastAsia" w:hAnsi="Arial" w:cs="Arial"/>
                <w:noProof/>
                <w:color w:val="000000"/>
                <w:spacing w:val="-2"/>
                <w:kern w:val="2"/>
                <w:sz w:val="24"/>
                <w:szCs w:val="24"/>
                <w:lang w:eastAsia="zh-CN"/>
              </w:rPr>
            </w:pPr>
            <w:r w:rsidRPr="00492079">
              <w:rPr>
                <w:rFonts w:ascii="Arial" w:eastAsiaTheme="minorEastAsia" w:hAnsi="Arial" w:cs="Arial"/>
                <w:noProof/>
                <w:color w:val="000000"/>
                <w:spacing w:val="-2"/>
                <w:kern w:val="2"/>
                <w:sz w:val="24"/>
                <w:szCs w:val="24"/>
                <w:lang w:eastAsia="zh-CN"/>
              </w:rPr>
              <w:t>Use Circadin® tablets swallowed whole.</w:t>
            </w:r>
          </w:p>
        </w:tc>
      </w:tr>
      <w:tr w:rsidR="00705B04" w:rsidRPr="00492079" w14:paraId="1B7DDF18" w14:textId="77777777" w:rsidTr="002F75D0">
        <w:tc>
          <w:tcPr>
            <w:tcW w:w="2957" w:type="dxa"/>
          </w:tcPr>
          <w:p w14:paraId="0F3D1A51" w14:textId="77777777" w:rsidR="00705B04" w:rsidRPr="00492079" w:rsidRDefault="00705B04" w:rsidP="007B1B86">
            <w:pPr>
              <w:widowControl w:val="0"/>
              <w:spacing w:before="60" w:after="60"/>
              <w:rPr>
                <w:rFonts w:ascii="Arial" w:eastAsiaTheme="minorEastAsia" w:hAnsi="Arial" w:cs="Arial"/>
                <w:noProof/>
                <w:color w:val="000000"/>
                <w:spacing w:val="-2"/>
                <w:kern w:val="2"/>
                <w:sz w:val="24"/>
                <w:szCs w:val="24"/>
                <w:lang w:eastAsia="zh-CN"/>
              </w:rPr>
            </w:pPr>
            <w:r w:rsidRPr="00492079">
              <w:rPr>
                <w:rFonts w:ascii="Arial" w:eastAsiaTheme="minorEastAsia" w:hAnsi="Arial" w:cs="Arial"/>
                <w:noProof/>
                <w:color w:val="000000"/>
                <w:spacing w:val="-2"/>
                <w:kern w:val="2"/>
                <w:sz w:val="24"/>
                <w:szCs w:val="24"/>
                <w:lang w:eastAsia="zh-CN"/>
              </w:rPr>
              <w:t xml:space="preserve">Mixed </w:t>
            </w:r>
          </w:p>
        </w:tc>
        <w:tc>
          <w:tcPr>
            <w:tcW w:w="6676" w:type="dxa"/>
          </w:tcPr>
          <w:p w14:paraId="3627448E" w14:textId="77777777" w:rsidR="00705B04" w:rsidRPr="00492079" w:rsidRDefault="00705B04" w:rsidP="007B1B86">
            <w:pPr>
              <w:widowControl w:val="0"/>
              <w:spacing w:before="60" w:after="60"/>
              <w:rPr>
                <w:rFonts w:ascii="Arial" w:eastAsiaTheme="minorEastAsia" w:hAnsi="Arial" w:cs="Arial"/>
                <w:noProof/>
                <w:color w:val="000000"/>
                <w:spacing w:val="-2"/>
                <w:kern w:val="2"/>
                <w:sz w:val="24"/>
                <w:szCs w:val="24"/>
                <w:lang w:eastAsia="zh-CN"/>
              </w:rPr>
            </w:pPr>
            <w:r w:rsidRPr="00492079">
              <w:rPr>
                <w:rFonts w:ascii="Arial" w:eastAsiaTheme="minorEastAsia" w:hAnsi="Arial" w:cs="Arial"/>
                <w:noProof/>
                <w:color w:val="000000"/>
                <w:spacing w:val="-2"/>
                <w:kern w:val="2"/>
                <w:sz w:val="24"/>
                <w:szCs w:val="24"/>
                <w:lang w:eastAsia="zh-CN"/>
              </w:rPr>
              <w:t>Some children need a combination of standard release and modified release properties. Use Circadin® in a mixture of whole and crushed forms with maximum combined dose of 10mg.</w:t>
            </w:r>
          </w:p>
        </w:tc>
      </w:tr>
    </w:tbl>
    <w:p w14:paraId="46E45796" w14:textId="77777777" w:rsidR="00705B04" w:rsidRPr="00492079" w:rsidRDefault="00705B04" w:rsidP="007B1B86">
      <w:pPr>
        <w:widowControl w:val="0"/>
        <w:spacing w:before="120" w:after="120" w:line="240" w:lineRule="auto"/>
        <w:ind w:left="363"/>
        <w:rPr>
          <w:rFonts w:ascii="Arial" w:eastAsiaTheme="minorEastAsia" w:hAnsi="Arial" w:cs="Arial"/>
          <w:b/>
          <w:noProof/>
          <w:color w:val="000000"/>
          <w:spacing w:val="-2"/>
          <w:kern w:val="2"/>
          <w:sz w:val="24"/>
          <w:szCs w:val="24"/>
          <w:lang w:eastAsia="zh-CN"/>
        </w:rPr>
      </w:pPr>
      <w:r w:rsidRPr="00492079">
        <w:rPr>
          <w:rFonts w:ascii="Arial" w:eastAsiaTheme="minorEastAsia" w:hAnsi="Arial" w:cs="Arial"/>
          <w:b/>
          <w:noProof/>
          <w:color w:val="000000"/>
          <w:spacing w:val="-2"/>
          <w:kern w:val="2"/>
          <w:sz w:val="24"/>
          <w:szCs w:val="24"/>
          <w:lang w:eastAsia="zh-CN"/>
        </w:rPr>
        <w:t>Interactions and Side effects</w:t>
      </w:r>
    </w:p>
    <w:p w14:paraId="4100F45A" w14:textId="53650AF4" w:rsidR="00705B04" w:rsidRPr="00492079" w:rsidRDefault="00705B04" w:rsidP="007B1B86">
      <w:pPr>
        <w:widowControl w:val="0"/>
        <w:spacing w:before="120" w:after="120" w:line="240" w:lineRule="auto"/>
        <w:ind w:left="363"/>
        <w:rPr>
          <w:rFonts w:ascii="Arial" w:eastAsiaTheme="minorEastAsia" w:hAnsi="Arial" w:cs="Arial"/>
          <w:noProof/>
          <w:color w:val="000000"/>
          <w:spacing w:val="-2"/>
          <w:kern w:val="2"/>
          <w:sz w:val="24"/>
          <w:szCs w:val="24"/>
          <w:lang w:eastAsia="zh-CN"/>
        </w:rPr>
      </w:pPr>
      <w:r w:rsidRPr="00492079">
        <w:rPr>
          <w:rFonts w:ascii="Arial" w:eastAsiaTheme="minorEastAsia" w:hAnsi="Arial" w:cs="Arial"/>
          <w:noProof/>
          <w:color w:val="000000"/>
          <w:spacing w:val="-2"/>
          <w:kern w:val="2"/>
          <w:sz w:val="24"/>
          <w:szCs w:val="24"/>
          <w:lang w:eastAsia="zh-CN"/>
        </w:rPr>
        <w:t xml:space="preserve">See </w:t>
      </w:r>
      <w:hyperlink r:id="rId11" w:history="1">
        <w:r w:rsidRPr="007B1B86">
          <w:rPr>
            <w:rStyle w:val="Hyperlink"/>
            <w:rFonts w:ascii="Arial" w:eastAsiaTheme="minorEastAsia" w:hAnsi="Arial" w:cs="Arial"/>
            <w:noProof/>
            <w:spacing w:val="-2"/>
            <w:kern w:val="2"/>
            <w:sz w:val="24"/>
            <w:szCs w:val="24"/>
            <w:lang w:eastAsia="zh-CN"/>
          </w:rPr>
          <w:t>current SPC</w:t>
        </w:r>
      </w:hyperlink>
      <w:r w:rsidRPr="00492079">
        <w:rPr>
          <w:rFonts w:ascii="Arial" w:eastAsiaTheme="minorEastAsia" w:hAnsi="Arial" w:cs="Arial"/>
          <w:noProof/>
          <w:color w:val="000000"/>
          <w:spacing w:val="-2"/>
          <w:kern w:val="2"/>
          <w:sz w:val="24"/>
          <w:szCs w:val="24"/>
          <w:lang w:eastAsia="zh-CN"/>
        </w:rPr>
        <w:t xml:space="preserve"> for full information on interactions and side effects</w:t>
      </w:r>
    </w:p>
    <w:p w14:paraId="261AEE4A" w14:textId="68176E09" w:rsidR="00705B04" w:rsidRPr="00492079" w:rsidRDefault="00705B04" w:rsidP="007B1B86">
      <w:pPr>
        <w:widowControl w:val="0"/>
        <w:spacing w:before="120" w:after="120" w:line="240" w:lineRule="auto"/>
        <w:ind w:left="363"/>
        <w:rPr>
          <w:rFonts w:ascii="Arial" w:eastAsiaTheme="minorEastAsia" w:hAnsi="Arial" w:cs="Arial"/>
          <w:b/>
          <w:noProof/>
          <w:color w:val="000000"/>
          <w:spacing w:val="-2"/>
          <w:kern w:val="2"/>
          <w:sz w:val="24"/>
          <w:szCs w:val="24"/>
          <w:lang w:eastAsia="zh-CN"/>
        </w:rPr>
      </w:pPr>
      <w:r w:rsidRPr="00492079">
        <w:rPr>
          <w:rFonts w:ascii="Arial" w:eastAsiaTheme="minorEastAsia" w:hAnsi="Arial" w:cs="Arial"/>
          <w:b/>
          <w:noProof/>
          <w:color w:val="000000"/>
          <w:spacing w:val="-2"/>
          <w:kern w:val="2"/>
          <w:sz w:val="24"/>
          <w:szCs w:val="24"/>
          <w:lang w:eastAsia="zh-CN"/>
        </w:rPr>
        <w:t>Monitoring:</w:t>
      </w:r>
    </w:p>
    <w:p w14:paraId="72344DD8" w14:textId="77777777" w:rsidR="00705B04" w:rsidRPr="00492079" w:rsidRDefault="00705B04" w:rsidP="007B1B86">
      <w:pPr>
        <w:widowControl w:val="0"/>
        <w:spacing w:before="120" w:after="120" w:line="240" w:lineRule="auto"/>
        <w:ind w:left="363"/>
        <w:rPr>
          <w:rFonts w:ascii="Arial" w:eastAsiaTheme="minorEastAsia" w:hAnsi="Arial" w:cs="Arial"/>
          <w:noProof/>
          <w:color w:val="000000"/>
          <w:spacing w:val="-2"/>
          <w:kern w:val="2"/>
          <w:sz w:val="24"/>
          <w:szCs w:val="24"/>
          <w:lang w:eastAsia="zh-CN"/>
        </w:rPr>
      </w:pPr>
      <w:r w:rsidRPr="00492079">
        <w:rPr>
          <w:rFonts w:ascii="Arial" w:eastAsiaTheme="minorEastAsia" w:hAnsi="Arial" w:cs="Arial"/>
          <w:noProof/>
          <w:color w:val="000000"/>
          <w:spacing w:val="-2"/>
          <w:kern w:val="2"/>
          <w:sz w:val="24"/>
          <w:szCs w:val="24"/>
          <w:lang w:eastAsia="zh-CN"/>
        </w:rPr>
        <w:t>Response to treatment.</w:t>
      </w:r>
    </w:p>
    <w:p w14:paraId="5B9B43D0" w14:textId="77777777" w:rsidR="00705B04" w:rsidRPr="00492079" w:rsidRDefault="00705B04" w:rsidP="007B1B86">
      <w:pPr>
        <w:widowControl w:val="0"/>
        <w:spacing w:before="120" w:after="120" w:line="240" w:lineRule="auto"/>
        <w:ind w:left="363"/>
        <w:rPr>
          <w:rFonts w:ascii="Arial" w:eastAsiaTheme="minorEastAsia" w:hAnsi="Arial" w:cs="Arial"/>
          <w:noProof/>
          <w:color w:val="000000"/>
          <w:spacing w:val="-2"/>
          <w:kern w:val="2"/>
          <w:sz w:val="24"/>
          <w:szCs w:val="24"/>
          <w:lang w:eastAsia="zh-CN"/>
        </w:rPr>
      </w:pPr>
      <w:r w:rsidRPr="00492079">
        <w:rPr>
          <w:rFonts w:ascii="Arial" w:eastAsiaTheme="minorEastAsia" w:hAnsi="Arial" w:cs="Arial"/>
          <w:noProof/>
          <w:color w:val="000000"/>
          <w:spacing w:val="-2"/>
          <w:kern w:val="2"/>
          <w:sz w:val="24"/>
          <w:szCs w:val="24"/>
          <w:lang w:eastAsia="zh-CN"/>
        </w:rPr>
        <w:lastRenderedPageBreak/>
        <w:t>Monitoring of growth and sexual development with long term use is primarily the responsibility of the child’s consultant but the GP should report any concerns.</w:t>
      </w:r>
    </w:p>
    <w:p w14:paraId="6E857593" w14:textId="77777777" w:rsidR="00705B04" w:rsidRPr="00492079" w:rsidRDefault="00705B04" w:rsidP="007B1B86">
      <w:pPr>
        <w:widowControl w:val="0"/>
        <w:spacing w:before="120" w:after="120" w:line="240" w:lineRule="auto"/>
        <w:ind w:left="363"/>
        <w:rPr>
          <w:rFonts w:ascii="Arial" w:eastAsiaTheme="minorEastAsia" w:hAnsi="Arial" w:cs="Arial"/>
          <w:noProof/>
          <w:color w:val="000000"/>
          <w:spacing w:val="-2"/>
          <w:kern w:val="2"/>
          <w:sz w:val="24"/>
          <w:szCs w:val="24"/>
          <w:lang w:eastAsia="zh-CN"/>
        </w:rPr>
      </w:pPr>
      <w:r w:rsidRPr="00492079">
        <w:rPr>
          <w:rFonts w:ascii="Arial" w:eastAsiaTheme="minorEastAsia" w:hAnsi="Arial" w:cs="Arial"/>
          <w:noProof/>
          <w:color w:val="000000"/>
          <w:spacing w:val="-2"/>
          <w:kern w:val="2"/>
          <w:sz w:val="24"/>
          <w:szCs w:val="24"/>
          <w:lang w:eastAsia="zh-CN"/>
        </w:rPr>
        <w:t>Long term effects have not been fully evaluated in humans but observations from animal models regarding the effect on pituitary hormones necessitate precautionary monitoring.</w:t>
      </w:r>
    </w:p>
    <w:p w14:paraId="10FC81A4" w14:textId="77777777" w:rsidR="00705B04" w:rsidRPr="00492079" w:rsidRDefault="00705B04" w:rsidP="007B1B86">
      <w:pPr>
        <w:widowControl w:val="0"/>
        <w:spacing w:before="120" w:after="120" w:line="240" w:lineRule="auto"/>
        <w:ind w:left="363"/>
        <w:rPr>
          <w:rFonts w:ascii="Arial" w:eastAsiaTheme="minorEastAsia" w:hAnsi="Arial" w:cs="Arial"/>
          <w:noProof/>
          <w:color w:val="000000"/>
          <w:spacing w:val="-2"/>
          <w:kern w:val="2"/>
          <w:sz w:val="24"/>
          <w:szCs w:val="24"/>
          <w:lang w:eastAsia="zh-CN"/>
        </w:rPr>
      </w:pPr>
      <w:r w:rsidRPr="00492079">
        <w:rPr>
          <w:rFonts w:ascii="Arial" w:eastAsiaTheme="minorEastAsia" w:hAnsi="Arial" w:cs="Arial"/>
          <w:noProof/>
          <w:color w:val="000000"/>
          <w:spacing w:val="-2"/>
          <w:kern w:val="2"/>
          <w:sz w:val="24"/>
          <w:szCs w:val="24"/>
          <w:lang w:eastAsia="zh-CN"/>
        </w:rPr>
        <w:t>Ensure a drug holiday of 7 days every 6 months has been undertaken and that the sleep diary has been completed to reflect this.</w:t>
      </w:r>
    </w:p>
    <w:p w14:paraId="42062028" w14:textId="77777777" w:rsidR="00705B04" w:rsidRPr="00492079" w:rsidRDefault="00705B04" w:rsidP="007B1B86">
      <w:pPr>
        <w:widowControl w:val="0"/>
        <w:spacing w:before="120" w:after="120" w:line="240" w:lineRule="auto"/>
        <w:ind w:left="363"/>
        <w:rPr>
          <w:rFonts w:ascii="Arial" w:eastAsiaTheme="minorEastAsia" w:hAnsi="Arial" w:cs="Arial"/>
          <w:noProof/>
          <w:color w:val="000000"/>
          <w:spacing w:val="-2"/>
          <w:kern w:val="2"/>
          <w:sz w:val="24"/>
          <w:szCs w:val="24"/>
          <w:lang w:eastAsia="zh-CN"/>
        </w:rPr>
      </w:pPr>
      <w:r w:rsidRPr="00492079">
        <w:rPr>
          <w:rFonts w:ascii="Arial" w:eastAsiaTheme="minorEastAsia" w:hAnsi="Arial" w:cs="Arial"/>
          <w:noProof/>
          <w:color w:val="000000"/>
          <w:spacing w:val="-2"/>
          <w:kern w:val="2"/>
          <w:sz w:val="24"/>
          <w:szCs w:val="24"/>
          <w:lang w:eastAsia="zh-CN"/>
        </w:rPr>
        <w:t>Where shared care exists, this should be followed, this can be found on the CCG website</w:t>
      </w:r>
    </w:p>
    <w:p w14:paraId="000C857D" w14:textId="35FDA0F1" w:rsidR="00705B04" w:rsidRPr="00492079" w:rsidRDefault="002F75D0" w:rsidP="007B1B86">
      <w:pPr>
        <w:widowControl w:val="0"/>
        <w:spacing w:before="120" w:after="120" w:line="240" w:lineRule="auto"/>
        <w:ind w:left="363"/>
        <w:rPr>
          <w:rFonts w:ascii="Arial" w:eastAsiaTheme="minorEastAsia" w:hAnsi="Arial" w:cs="Arial"/>
          <w:noProof/>
          <w:color w:val="000000"/>
          <w:spacing w:val="-2"/>
          <w:kern w:val="2"/>
          <w:sz w:val="24"/>
          <w:szCs w:val="24"/>
          <w:lang w:eastAsia="zh-CN"/>
        </w:rPr>
      </w:pPr>
      <w:hyperlink r:id="rId12" w:history="1">
        <w:r w:rsidR="00705B04" w:rsidRPr="00492079">
          <w:rPr>
            <w:rStyle w:val="Hyperlink"/>
            <w:rFonts w:ascii="Arial" w:eastAsiaTheme="minorEastAsia" w:hAnsi="Arial" w:cs="Arial"/>
            <w:noProof/>
            <w:spacing w:val="-2"/>
            <w:kern w:val="2"/>
            <w:sz w:val="24"/>
            <w:szCs w:val="24"/>
            <w:lang w:eastAsia="zh-CN"/>
          </w:rPr>
          <w:t>Rotherham Shared Care</w:t>
        </w:r>
      </w:hyperlink>
    </w:p>
    <w:p w14:paraId="7B69AF8C" w14:textId="77777777" w:rsidR="004D3B91" w:rsidRDefault="002F75D0" w:rsidP="007B1B86">
      <w:pPr>
        <w:widowControl w:val="0"/>
        <w:spacing w:before="120" w:after="120" w:line="240" w:lineRule="auto"/>
        <w:ind w:left="363"/>
        <w:rPr>
          <w:rStyle w:val="Hyperlink"/>
          <w:rFonts w:ascii="Arial" w:eastAsiaTheme="minorEastAsia" w:hAnsi="Arial" w:cs="Arial"/>
          <w:noProof/>
          <w:spacing w:val="-2"/>
          <w:kern w:val="2"/>
          <w:sz w:val="24"/>
          <w:szCs w:val="20"/>
          <w:lang w:eastAsia="zh-CN"/>
        </w:rPr>
      </w:pPr>
      <w:hyperlink r:id="rId13" w:history="1">
        <w:r w:rsidR="00705B04" w:rsidRPr="00AF282E">
          <w:rPr>
            <w:rStyle w:val="Hyperlink"/>
            <w:rFonts w:ascii="Arial" w:eastAsiaTheme="minorEastAsia" w:hAnsi="Arial" w:cs="Arial"/>
            <w:noProof/>
            <w:spacing w:val="-2"/>
            <w:kern w:val="2"/>
            <w:sz w:val="24"/>
            <w:szCs w:val="20"/>
            <w:lang w:eastAsia="zh-CN"/>
          </w:rPr>
          <w:t>Doncaster Shared Care</w:t>
        </w:r>
      </w:hyperlink>
    </w:p>
    <w:p w14:paraId="20809555" w14:textId="77777777" w:rsidR="00AF282E" w:rsidRPr="00492079" w:rsidRDefault="00AF282E" w:rsidP="00492079">
      <w:pPr>
        <w:spacing w:before="120" w:after="120" w:line="240" w:lineRule="auto"/>
        <w:rPr>
          <w:rFonts w:ascii="Arial" w:hAnsi="Arial" w:cs="Arial"/>
          <w:b/>
          <w:color w:val="0070C0"/>
        </w:rPr>
        <w:sectPr w:rsidR="00AF282E" w:rsidRPr="00492079" w:rsidSect="00C15084">
          <w:footerReference w:type="default" r:id="rId14"/>
          <w:pgSz w:w="11906" w:h="16838"/>
          <w:pgMar w:top="720" w:right="849" w:bottom="720" w:left="993" w:header="567" w:footer="340" w:gutter="0"/>
          <w:cols w:space="708"/>
          <w:docGrid w:linePitch="360"/>
        </w:sectPr>
      </w:pPr>
    </w:p>
    <w:tbl>
      <w:tblPr>
        <w:tblpPr w:leftFromText="180" w:rightFromText="180" w:vertAnchor="page" w:horzAnchor="margin" w:tblpY="110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1276"/>
        <w:gridCol w:w="2073"/>
        <w:gridCol w:w="1471"/>
        <w:gridCol w:w="1885"/>
        <w:gridCol w:w="241"/>
        <w:gridCol w:w="1625"/>
        <w:gridCol w:w="1210"/>
        <w:gridCol w:w="468"/>
        <w:gridCol w:w="2651"/>
      </w:tblGrid>
      <w:tr w:rsidR="00D64494" w:rsidRPr="00492079" w14:paraId="3845CA51" w14:textId="77777777" w:rsidTr="003E249A">
        <w:trPr>
          <w:trHeight w:val="699"/>
        </w:trPr>
        <w:tc>
          <w:tcPr>
            <w:tcW w:w="392" w:type="dxa"/>
            <w:vMerge w:val="restart"/>
            <w:tcBorders>
              <w:top w:val="nil"/>
              <w:left w:val="nil"/>
              <w:bottom w:val="nil"/>
              <w:right w:val="nil"/>
            </w:tcBorders>
            <w:shd w:val="clear" w:color="auto" w:fill="auto"/>
          </w:tcPr>
          <w:p w14:paraId="7FEDAEB9" w14:textId="77777777" w:rsidR="00D64494" w:rsidRPr="00492079" w:rsidRDefault="00D64494" w:rsidP="00786B4D">
            <w:pPr>
              <w:spacing w:before="60" w:after="60" w:line="240" w:lineRule="auto"/>
              <w:rPr>
                <w:rFonts w:ascii="Arial" w:eastAsia="Times New Roman" w:hAnsi="Arial" w:cs="Arial"/>
                <w:b/>
                <w:sz w:val="24"/>
                <w:szCs w:val="24"/>
              </w:rPr>
            </w:pPr>
          </w:p>
          <w:p w14:paraId="0E41B99B" w14:textId="77777777" w:rsidR="00D64494" w:rsidRPr="00492079" w:rsidRDefault="00D64494" w:rsidP="00786B4D">
            <w:pPr>
              <w:spacing w:before="60" w:after="60" w:line="240" w:lineRule="auto"/>
              <w:rPr>
                <w:rFonts w:ascii="Arial" w:eastAsia="Times New Roman" w:hAnsi="Arial" w:cs="Arial"/>
                <w:b/>
                <w:sz w:val="24"/>
                <w:szCs w:val="24"/>
              </w:rPr>
            </w:pPr>
          </w:p>
        </w:tc>
        <w:tc>
          <w:tcPr>
            <w:tcW w:w="3260" w:type="dxa"/>
            <w:gridSpan w:val="2"/>
            <w:vMerge w:val="restart"/>
            <w:tcBorders>
              <w:top w:val="nil"/>
              <w:left w:val="nil"/>
              <w:bottom w:val="nil"/>
              <w:right w:val="single" w:sz="4" w:space="0" w:color="auto"/>
            </w:tcBorders>
            <w:shd w:val="clear" w:color="auto" w:fill="auto"/>
          </w:tcPr>
          <w:p w14:paraId="79627652" w14:textId="77777777" w:rsidR="007B1B86" w:rsidRPr="007B1B86" w:rsidRDefault="00D64494" w:rsidP="00D64494">
            <w:pPr>
              <w:pStyle w:val="ListParagraph"/>
              <w:widowControl w:val="0"/>
              <w:numPr>
                <w:ilvl w:val="0"/>
                <w:numId w:val="1"/>
              </w:numPr>
              <w:ind w:left="0"/>
              <w:rPr>
                <w:rFonts w:ascii="Arial" w:eastAsiaTheme="minorEastAsia" w:hAnsi="Arial" w:cs="Helvetica"/>
                <w:b/>
                <w:noProof/>
                <w:color w:val="0071C6"/>
                <w:kern w:val="2"/>
                <w:lang w:val="en-US" w:eastAsia="zh-CN"/>
              </w:rPr>
            </w:pPr>
            <w:r w:rsidRPr="007B1B86">
              <w:rPr>
                <w:rFonts w:ascii="Arial" w:eastAsiaTheme="minorEastAsia" w:hAnsi="Arial" w:cs="Helvetica"/>
                <w:b/>
                <w:noProof/>
                <w:color w:val="0071C6"/>
                <w:kern w:val="2"/>
                <w:lang w:val="en-US" w:eastAsia="zh-CN"/>
              </w:rPr>
              <w:t>5. Baseline</w:t>
            </w:r>
            <w:r w:rsidRPr="007B1B86">
              <w:rPr>
                <w:rFonts w:ascii="Arial" w:eastAsiaTheme="minorEastAsia" w:hAnsi="Arial" w:cs="Calibri"/>
                <w:b/>
                <w:noProof/>
                <w:color w:val="000000"/>
                <w:kern w:val="2"/>
                <w:lang w:val="en-US" w:eastAsia="zh-CN"/>
              </w:rPr>
              <w:t> </w:t>
            </w:r>
            <w:r w:rsidRPr="007B1B86">
              <w:rPr>
                <w:rFonts w:ascii="Arial" w:eastAsiaTheme="minorEastAsia" w:hAnsi="Arial" w:cs="Helvetica"/>
                <w:b/>
                <w:noProof/>
                <w:color w:val="0071C6"/>
                <w:kern w:val="2"/>
                <w:lang w:val="en-US" w:eastAsia="zh-CN"/>
              </w:rPr>
              <w:t>Assessments</w:t>
            </w:r>
            <w:r w:rsidRPr="007B1B86">
              <w:rPr>
                <w:rFonts w:ascii="Arial" w:eastAsiaTheme="minorEastAsia" w:hAnsi="Arial" w:cs="Calibri"/>
                <w:b/>
                <w:noProof/>
                <w:color w:val="000000"/>
                <w:kern w:val="2"/>
                <w:lang w:val="en-US" w:eastAsia="zh-CN"/>
              </w:rPr>
              <w:t> </w:t>
            </w:r>
          </w:p>
          <w:p w14:paraId="3D6F156B" w14:textId="124F2711" w:rsidR="00D64494" w:rsidRPr="00492079" w:rsidRDefault="00D64494" w:rsidP="007B1B86">
            <w:pPr>
              <w:pStyle w:val="ListParagraph"/>
              <w:widowControl w:val="0"/>
              <w:numPr>
                <w:ilvl w:val="0"/>
                <w:numId w:val="1"/>
              </w:numPr>
              <w:ind w:left="0"/>
              <w:rPr>
                <w:rFonts w:ascii="Arial" w:eastAsia="Times New Roman" w:hAnsi="Arial" w:cs="Arial"/>
                <w:b/>
                <w:sz w:val="24"/>
                <w:szCs w:val="24"/>
              </w:rPr>
            </w:pPr>
            <w:r w:rsidRPr="007B1B86">
              <w:rPr>
                <w:rFonts w:ascii="Arial" w:eastAsiaTheme="minorEastAsia" w:hAnsi="Arial" w:cs="Helvetica"/>
                <w:b/>
                <w:noProof/>
                <w:color w:val="0071C6"/>
                <w:kern w:val="2"/>
                <w:lang w:val="en-US" w:eastAsia="zh-CN"/>
              </w:rPr>
              <w:t>and</w:t>
            </w:r>
            <w:r w:rsidRPr="007B1B86">
              <w:rPr>
                <w:rFonts w:ascii="Arial" w:eastAsiaTheme="minorEastAsia" w:hAnsi="Arial" w:cs="Calibri"/>
                <w:b/>
                <w:noProof/>
                <w:color w:val="000000"/>
                <w:kern w:val="2"/>
                <w:lang w:val="en-US" w:eastAsia="zh-CN"/>
              </w:rPr>
              <w:t> </w:t>
            </w:r>
            <w:r w:rsidRPr="007B1B86">
              <w:rPr>
                <w:rFonts w:ascii="Arial" w:eastAsiaTheme="minorEastAsia" w:hAnsi="Arial" w:cs="Helvetica"/>
                <w:b/>
                <w:noProof/>
                <w:color w:val="0071C6"/>
                <w:kern w:val="2"/>
                <w:lang w:val="en-US" w:eastAsia="zh-CN"/>
              </w:rPr>
              <w:t>Monitoring</w:t>
            </w:r>
          </w:p>
        </w:tc>
        <w:tc>
          <w:tcPr>
            <w:tcW w:w="11624" w:type="dxa"/>
            <w:gridSpan w:val="8"/>
            <w:tcBorders>
              <w:left w:val="single" w:sz="4" w:space="0" w:color="auto"/>
            </w:tcBorders>
            <w:shd w:val="clear" w:color="auto" w:fill="808080" w:themeFill="background1" w:themeFillShade="80"/>
          </w:tcPr>
          <w:p w14:paraId="69957E8A" w14:textId="77777777" w:rsidR="00D64494" w:rsidRPr="007B1B86" w:rsidRDefault="00D64494" w:rsidP="00786B4D">
            <w:pPr>
              <w:spacing w:before="60" w:after="60" w:line="240" w:lineRule="auto"/>
              <w:jc w:val="center"/>
              <w:rPr>
                <w:rFonts w:ascii="Arial" w:eastAsia="Times New Roman" w:hAnsi="Arial" w:cs="Arial"/>
                <w:b/>
                <w:color w:val="FFFFFF" w:themeColor="background1"/>
              </w:rPr>
            </w:pPr>
            <w:r w:rsidRPr="007B1B86">
              <w:rPr>
                <w:rFonts w:ascii="Arial" w:eastAsia="Times New Roman" w:hAnsi="Arial" w:cs="Arial"/>
                <w:b/>
                <w:color w:val="FFFFFF" w:themeColor="background1"/>
              </w:rPr>
              <w:t>MONITORING PARAMETER</w:t>
            </w:r>
          </w:p>
          <w:p w14:paraId="272457B7" w14:textId="77777777" w:rsidR="00D64494" w:rsidRPr="007B1B86" w:rsidRDefault="00D64494" w:rsidP="00786B4D">
            <w:pPr>
              <w:spacing w:before="60" w:after="60" w:line="240" w:lineRule="auto"/>
              <w:jc w:val="center"/>
              <w:rPr>
                <w:rFonts w:ascii="Arial" w:eastAsia="Times New Roman" w:hAnsi="Arial" w:cs="Arial"/>
                <w:b/>
                <w:color w:val="FFFFFF" w:themeColor="background1"/>
              </w:rPr>
            </w:pPr>
            <w:r w:rsidRPr="007B1B86">
              <w:rPr>
                <w:rFonts w:ascii="Arial" w:eastAsia="Times New Roman" w:hAnsi="Arial" w:cs="Arial"/>
                <w:b/>
                <w:color w:val="FFFFFF" w:themeColor="background1"/>
              </w:rPr>
              <w:t xml:space="preserve">This is based on current Doncaster shared care </w:t>
            </w:r>
            <w:proofErr w:type="gramStart"/>
            <w:r w:rsidRPr="007B1B86">
              <w:rPr>
                <w:rFonts w:ascii="Arial" w:eastAsia="Times New Roman" w:hAnsi="Arial" w:cs="Arial"/>
                <w:b/>
                <w:color w:val="FFFFFF" w:themeColor="background1"/>
              </w:rPr>
              <w:t>arrangement,</w:t>
            </w:r>
            <w:proofErr w:type="gramEnd"/>
            <w:r w:rsidRPr="007B1B86">
              <w:rPr>
                <w:rFonts w:ascii="Arial" w:eastAsia="Times New Roman" w:hAnsi="Arial" w:cs="Arial"/>
                <w:b/>
                <w:color w:val="FFFFFF" w:themeColor="background1"/>
              </w:rPr>
              <w:t xml:space="preserve"> local shared care should be followed</w:t>
            </w:r>
          </w:p>
        </w:tc>
      </w:tr>
      <w:tr w:rsidR="00D64494" w:rsidRPr="00492079" w14:paraId="7002A78B" w14:textId="77777777" w:rsidTr="003E249A">
        <w:trPr>
          <w:trHeight w:val="567"/>
        </w:trPr>
        <w:tc>
          <w:tcPr>
            <w:tcW w:w="392" w:type="dxa"/>
            <w:tcBorders>
              <w:top w:val="nil"/>
              <w:left w:val="nil"/>
              <w:bottom w:val="nil"/>
              <w:right w:val="nil"/>
            </w:tcBorders>
            <w:shd w:val="clear" w:color="auto" w:fill="auto"/>
          </w:tcPr>
          <w:p w14:paraId="686F6029" w14:textId="77777777" w:rsidR="00D64494" w:rsidRPr="00492079" w:rsidRDefault="00D64494" w:rsidP="00786B4D">
            <w:pPr>
              <w:spacing w:before="60" w:after="60" w:line="240" w:lineRule="auto"/>
              <w:rPr>
                <w:rFonts w:ascii="Arial" w:eastAsia="Times New Roman" w:hAnsi="Arial" w:cs="Arial"/>
                <w:b/>
                <w:sz w:val="24"/>
                <w:szCs w:val="24"/>
              </w:rPr>
            </w:pPr>
          </w:p>
        </w:tc>
        <w:tc>
          <w:tcPr>
            <w:tcW w:w="3260" w:type="dxa"/>
            <w:gridSpan w:val="2"/>
            <w:tcBorders>
              <w:top w:val="nil"/>
              <w:left w:val="nil"/>
            </w:tcBorders>
            <w:shd w:val="clear" w:color="auto" w:fill="auto"/>
          </w:tcPr>
          <w:p w14:paraId="13C903D3" w14:textId="77777777" w:rsidR="00D64494" w:rsidRPr="00492079" w:rsidRDefault="00D64494" w:rsidP="00786B4D">
            <w:pPr>
              <w:spacing w:before="60" w:after="60" w:line="240" w:lineRule="auto"/>
              <w:rPr>
                <w:rFonts w:ascii="Arial" w:eastAsia="Times New Roman" w:hAnsi="Arial" w:cs="Arial"/>
                <w:b/>
                <w:sz w:val="24"/>
                <w:szCs w:val="24"/>
              </w:rPr>
            </w:pPr>
          </w:p>
        </w:tc>
        <w:tc>
          <w:tcPr>
            <w:tcW w:w="2073" w:type="dxa"/>
            <w:shd w:val="clear" w:color="auto" w:fill="808080" w:themeFill="background1" w:themeFillShade="80"/>
            <w:vAlign w:val="center"/>
          </w:tcPr>
          <w:p w14:paraId="21A483F4" w14:textId="77777777" w:rsidR="00D64494" w:rsidRPr="007B1B86" w:rsidRDefault="00D64494" w:rsidP="00786B4D">
            <w:pPr>
              <w:spacing w:before="60" w:after="60" w:line="240" w:lineRule="auto"/>
              <w:jc w:val="center"/>
              <w:rPr>
                <w:rFonts w:ascii="Arial" w:eastAsia="Times New Roman" w:hAnsi="Arial" w:cs="Arial"/>
                <w:b/>
                <w:color w:val="FFFFFF" w:themeColor="background1"/>
                <w:sz w:val="20"/>
                <w:szCs w:val="20"/>
              </w:rPr>
            </w:pPr>
            <w:r w:rsidRPr="007B1B86">
              <w:rPr>
                <w:rFonts w:ascii="Arial" w:eastAsia="Times New Roman" w:hAnsi="Arial" w:cs="Arial"/>
                <w:b/>
                <w:color w:val="FFFFFF" w:themeColor="background1"/>
                <w:sz w:val="20"/>
                <w:szCs w:val="20"/>
              </w:rPr>
              <w:t>Doncaster</w:t>
            </w:r>
          </w:p>
        </w:tc>
        <w:tc>
          <w:tcPr>
            <w:tcW w:w="1471" w:type="dxa"/>
            <w:shd w:val="clear" w:color="auto" w:fill="808080" w:themeFill="background1" w:themeFillShade="80"/>
            <w:vAlign w:val="center"/>
          </w:tcPr>
          <w:p w14:paraId="3F66FA5D" w14:textId="77777777" w:rsidR="00D64494" w:rsidRPr="007B1B86" w:rsidRDefault="00D64494" w:rsidP="00786B4D">
            <w:pPr>
              <w:spacing w:before="60" w:after="60" w:line="240" w:lineRule="auto"/>
              <w:jc w:val="center"/>
              <w:rPr>
                <w:rFonts w:ascii="Arial" w:eastAsia="Times New Roman" w:hAnsi="Arial" w:cs="Arial"/>
                <w:b/>
                <w:color w:val="FFFFFF" w:themeColor="background1"/>
                <w:sz w:val="20"/>
                <w:szCs w:val="20"/>
              </w:rPr>
            </w:pPr>
            <w:r w:rsidRPr="007B1B86">
              <w:rPr>
                <w:rFonts w:ascii="Arial" w:eastAsia="Times New Roman" w:hAnsi="Arial" w:cs="Arial"/>
                <w:b/>
                <w:color w:val="FFFFFF" w:themeColor="background1"/>
                <w:sz w:val="20"/>
                <w:szCs w:val="20"/>
              </w:rPr>
              <w:t>Adult and Child</w:t>
            </w:r>
          </w:p>
        </w:tc>
        <w:tc>
          <w:tcPr>
            <w:tcW w:w="1885" w:type="dxa"/>
            <w:shd w:val="clear" w:color="auto" w:fill="808080" w:themeFill="background1" w:themeFillShade="80"/>
            <w:vAlign w:val="center"/>
          </w:tcPr>
          <w:p w14:paraId="6C9F89A4" w14:textId="77777777" w:rsidR="00D64494" w:rsidRPr="007B1B86" w:rsidRDefault="00D64494" w:rsidP="00786B4D">
            <w:pPr>
              <w:spacing w:before="60" w:after="60" w:line="240" w:lineRule="auto"/>
              <w:jc w:val="center"/>
              <w:rPr>
                <w:rFonts w:ascii="Arial" w:eastAsia="Times New Roman" w:hAnsi="Arial" w:cs="Arial"/>
                <w:b/>
                <w:color w:val="FFFFFF" w:themeColor="background1"/>
                <w:sz w:val="20"/>
                <w:szCs w:val="20"/>
              </w:rPr>
            </w:pPr>
            <w:r w:rsidRPr="007B1B86">
              <w:rPr>
                <w:rFonts w:ascii="Arial" w:eastAsia="Times New Roman" w:hAnsi="Arial" w:cs="Arial"/>
                <w:b/>
                <w:color w:val="FFFFFF" w:themeColor="background1"/>
                <w:sz w:val="20"/>
                <w:szCs w:val="20"/>
              </w:rPr>
              <w:t>Rotherham</w:t>
            </w:r>
          </w:p>
        </w:tc>
        <w:tc>
          <w:tcPr>
            <w:tcW w:w="1866" w:type="dxa"/>
            <w:gridSpan w:val="2"/>
            <w:shd w:val="clear" w:color="auto" w:fill="808080" w:themeFill="background1" w:themeFillShade="80"/>
            <w:vAlign w:val="center"/>
          </w:tcPr>
          <w:p w14:paraId="3F7039D6" w14:textId="77777777" w:rsidR="00D64494" w:rsidRPr="007B1B86" w:rsidRDefault="00D64494" w:rsidP="00786B4D">
            <w:pPr>
              <w:spacing w:before="60" w:after="60" w:line="240" w:lineRule="auto"/>
              <w:jc w:val="center"/>
              <w:rPr>
                <w:rFonts w:ascii="Arial" w:eastAsia="Times New Roman" w:hAnsi="Arial" w:cs="Arial"/>
                <w:b/>
                <w:color w:val="FFFFFF" w:themeColor="background1"/>
                <w:sz w:val="20"/>
                <w:szCs w:val="20"/>
              </w:rPr>
            </w:pPr>
            <w:r w:rsidRPr="007B1B86">
              <w:rPr>
                <w:rFonts w:ascii="Arial" w:eastAsia="Times New Roman" w:hAnsi="Arial" w:cs="Arial"/>
                <w:b/>
                <w:color w:val="FFFFFF" w:themeColor="background1"/>
                <w:sz w:val="20"/>
                <w:szCs w:val="20"/>
              </w:rPr>
              <w:t>Children only</w:t>
            </w:r>
          </w:p>
        </w:tc>
        <w:tc>
          <w:tcPr>
            <w:tcW w:w="1678" w:type="dxa"/>
            <w:gridSpan w:val="2"/>
            <w:shd w:val="clear" w:color="auto" w:fill="808080" w:themeFill="background1" w:themeFillShade="80"/>
            <w:vAlign w:val="center"/>
          </w:tcPr>
          <w:p w14:paraId="4F6797E4" w14:textId="77777777" w:rsidR="00D64494" w:rsidRPr="007B1B86" w:rsidRDefault="00D64494" w:rsidP="00786B4D">
            <w:pPr>
              <w:spacing w:before="60" w:after="60" w:line="240" w:lineRule="auto"/>
              <w:jc w:val="center"/>
              <w:rPr>
                <w:rFonts w:ascii="Arial" w:eastAsia="Times New Roman" w:hAnsi="Arial" w:cs="Arial"/>
                <w:b/>
                <w:color w:val="FFFFFF" w:themeColor="background1"/>
                <w:sz w:val="20"/>
                <w:szCs w:val="20"/>
              </w:rPr>
            </w:pPr>
            <w:r w:rsidRPr="007B1B86">
              <w:rPr>
                <w:rFonts w:ascii="Arial" w:eastAsia="Times New Roman" w:hAnsi="Arial" w:cs="Arial"/>
                <w:b/>
                <w:color w:val="FFFFFF" w:themeColor="background1"/>
                <w:sz w:val="20"/>
                <w:szCs w:val="20"/>
              </w:rPr>
              <w:t>North Lincolnshire</w:t>
            </w:r>
          </w:p>
        </w:tc>
        <w:tc>
          <w:tcPr>
            <w:tcW w:w="2651" w:type="dxa"/>
            <w:shd w:val="clear" w:color="auto" w:fill="808080" w:themeFill="background1" w:themeFillShade="80"/>
            <w:vAlign w:val="center"/>
          </w:tcPr>
          <w:p w14:paraId="543AD4CD" w14:textId="77777777" w:rsidR="00D64494" w:rsidRPr="007B1B86" w:rsidRDefault="00D64494" w:rsidP="00786B4D">
            <w:pPr>
              <w:spacing w:before="60" w:after="60" w:line="240" w:lineRule="auto"/>
              <w:jc w:val="center"/>
              <w:rPr>
                <w:rFonts w:ascii="Arial" w:eastAsia="Times New Roman" w:hAnsi="Arial" w:cs="Arial"/>
                <w:b/>
                <w:color w:val="FFFFFF" w:themeColor="background1"/>
                <w:sz w:val="20"/>
                <w:szCs w:val="20"/>
              </w:rPr>
            </w:pPr>
            <w:r w:rsidRPr="007B1B86">
              <w:rPr>
                <w:rFonts w:ascii="Arial" w:eastAsia="Times New Roman" w:hAnsi="Arial" w:cs="Arial"/>
                <w:b/>
                <w:color w:val="FFFFFF" w:themeColor="background1"/>
                <w:sz w:val="20"/>
                <w:szCs w:val="20"/>
              </w:rPr>
              <w:t>No formal shared care</w:t>
            </w:r>
          </w:p>
        </w:tc>
      </w:tr>
      <w:tr w:rsidR="00786B4D" w:rsidRPr="00492079" w14:paraId="7109D0EB" w14:textId="77777777" w:rsidTr="003E249A">
        <w:trPr>
          <w:trHeight w:val="246"/>
        </w:trPr>
        <w:tc>
          <w:tcPr>
            <w:tcW w:w="392" w:type="dxa"/>
            <w:tcBorders>
              <w:top w:val="nil"/>
              <w:left w:val="nil"/>
            </w:tcBorders>
            <w:shd w:val="clear" w:color="auto" w:fill="auto"/>
          </w:tcPr>
          <w:p w14:paraId="30E26EFE" w14:textId="77777777" w:rsidR="00D1157E" w:rsidRPr="00492079" w:rsidRDefault="00D1157E" w:rsidP="00786B4D">
            <w:pPr>
              <w:spacing w:before="60" w:after="60" w:line="240" w:lineRule="auto"/>
              <w:rPr>
                <w:rFonts w:ascii="Arial" w:eastAsia="Times New Roman" w:hAnsi="Arial" w:cs="Arial"/>
                <w:b/>
                <w:sz w:val="24"/>
                <w:szCs w:val="24"/>
              </w:rPr>
            </w:pPr>
          </w:p>
        </w:tc>
        <w:tc>
          <w:tcPr>
            <w:tcW w:w="1984" w:type="dxa"/>
            <w:shd w:val="clear" w:color="auto" w:fill="808080" w:themeFill="background1" w:themeFillShade="80"/>
            <w:vAlign w:val="center"/>
          </w:tcPr>
          <w:p w14:paraId="79C8C489" w14:textId="77777777" w:rsidR="00D1157E" w:rsidRPr="007B1B86" w:rsidRDefault="00786B4D" w:rsidP="00786B4D">
            <w:pPr>
              <w:spacing w:before="60" w:after="60" w:line="240" w:lineRule="auto"/>
              <w:jc w:val="center"/>
              <w:rPr>
                <w:rFonts w:ascii="Arial" w:eastAsia="Times New Roman" w:hAnsi="Arial" w:cs="Arial"/>
                <w:b/>
                <w:color w:val="FFFFFF" w:themeColor="background1"/>
                <w:sz w:val="20"/>
              </w:rPr>
            </w:pPr>
            <w:r w:rsidRPr="007B1B86">
              <w:rPr>
                <w:rFonts w:ascii="Arial" w:eastAsia="Times New Roman" w:hAnsi="Arial" w:cs="Arial"/>
                <w:b/>
                <w:color w:val="FFFFFF" w:themeColor="background1"/>
                <w:sz w:val="20"/>
              </w:rPr>
              <w:t>Drug</w:t>
            </w:r>
          </w:p>
        </w:tc>
        <w:tc>
          <w:tcPr>
            <w:tcW w:w="1276" w:type="dxa"/>
            <w:shd w:val="clear" w:color="auto" w:fill="808080" w:themeFill="background1" w:themeFillShade="80"/>
            <w:vAlign w:val="center"/>
          </w:tcPr>
          <w:p w14:paraId="2628B9CD" w14:textId="77777777" w:rsidR="00D1157E" w:rsidRPr="007B1B86" w:rsidRDefault="00786B4D" w:rsidP="00786B4D">
            <w:pPr>
              <w:spacing w:before="60" w:after="60" w:line="240" w:lineRule="auto"/>
              <w:jc w:val="center"/>
              <w:rPr>
                <w:rFonts w:ascii="Arial" w:eastAsia="Times New Roman" w:hAnsi="Arial" w:cs="Arial"/>
                <w:b/>
                <w:color w:val="FFFFFF" w:themeColor="background1"/>
                <w:sz w:val="20"/>
              </w:rPr>
            </w:pPr>
            <w:r w:rsidRPr="007B1B86">
              <w:rPr>
                <w:rFonts w:ascii="Arial" w:eastAsia="Times New Roman" w:hAnsi="Arial" w:cs="Arial"/>
                <w:b/>
                <w:color w:val="FFFFFF" w:themeColor="background1"/>
                <w:sz w:val="20"/>
              </w:rPr>
              <w:t>Site</w:t>
            </w:r>
          </w:p>
        </w:tc>
        <w:tc>
          <w:tcPr>
            <w:tcW w:w="3544" w:type="dxa"/>
            <w:gridSpan w:val="2"/>
            <w:shd w:val="clear" w:color="auto" w:fill="808080" w:themeFill="background1" w:themeFillShade="80"/>
            <w:vAlign w:val="center"/>
          </w:tcPr>
          <w:p w14:paraId="036CB508" w14:textId="77777777" w:rsidR="00D1157E" w:rsidRPr="007B1B86" w:rsidRDefault="00D1157E" w:rsidP="00786B4D">
            <w:pPr>
              <w:spacing w:before="60" w:after="60" w:line="240" w:lineRule="auto"/>
              <w:jc w:val="center"/>
              <w:rPr>
                <w:rFonts w:ascii="Arial" w:eastAsia="Times New Roman" w:hAnsi="Arial" w:cs="Arial"/>
                <w:b/>
                <w:color w:val="FFFFFF" w:themeColor="background1"/>
                <w:sz w:val="20"/>
              </w:rPr>
            </w:pPr>
            <w:r w:rsidRPr="007B1B86">
              <w:rPr>
                <w:rFonts w:ascii="Arial" w:eastAsia="Times New Roman" w:hAnsi="Arial" w:cs="Arial"/>
                <w:b/>
                <w:color w:val="FFFFFF" w:themeColor="background1"/>
                <w:sz w:val="20"/>
              </w:rPr>
              <w:t>Progression</w:t>
            </w:r>
          </w:p>
        </w:tc>
        <w:tc>
          <w:tcPr>
            <w:tcW w:w="2126" w:type="dxa"/>
            <w:gridSpan w:val="2"/>
            <w:shd w:val="clear" w:color="auto" w:fill="808080" w:themeFill="background1" w:themeFillShade="80"/>
            <w:vAlign w:val="center"/>
          </w:tcPr>
          <w:p w14:paraId="7C69B949" w14:textId="77777777" w:rsidR="00D1157E" w:rsidRPr="007B1B86" w:rsidRDefault="00D1157E" w:rsidP="00786B4D">
            <w:pPr>
              <w:spacing w:before="60" w:after="60" w:line="240" w:lineRule="auto"/>
              <w:jc w:val="center"/>
              <w:rPr>
                <w:rFonts w:ascii="Arial" w:eastAsia="Times New Roman" w:hAnsi="Arial" w:cs="Arial"/>
                <w:b/>
                <w:color w:val="FFFFFF" w:themeColor="background1"/>
                <w:sz w:val="20"/>
              </w:rPr>
            </w:pPr>
            <w:r w:rsidRPr="007B1B86">
              <w:rPr>
                <w:rFonts w:ascii="Arial" w:eastAsia="Times New Roman" w:hAnsi="Arial" w:cs="Arial"/>
                <w:b/>
                <w:color w:val="FFFFFF" w:themeColor="background1"/>
                <w:sz w:val="20"/>
              </w:rPr>
              <w:t>Height</w:t>
            </w:r>
          </w:p>
        </w:tc>
        <w:tc>
          <w:tcPr>
            <w:tcW w:w="2835" w:type="dxa"/>
            <w:gridSpan w:val="2"/>
            <w:shd w:val="clear" w:color="auto" w:fill="808080" w:themeFill="background1" w:themeFillShade="80"/>
            <w:vAlign w:val="center"/>
          </w:tcPr>
          <w:p w14:paraId="7EF62D5C" w14:textId="77777777" w:rsidR="00D1157E" w:rsidRPr="007B1B86" w:rsidRDefault="00D1157E" w:rsidP="00786B4D">
            <w:pPr>
              <w:spacing w:before="60" w:after="60" w:line="240" w:lineRule="auto"/>
              <w:jc w:val="center"/>
              <w:rPr>
                <w:rFonts w:ascii="Arial" w:eastAsia="Times New Roman" w:hAnsi="Arial" w:cs="Arial"/>
                <w:b/>
                <w:color w:val="FFFFFF" w:themeColor="background1"/>
                <w:sz w:val="20"/>
              </w:rPr>
            </w:pPr>
            <w:r w:rsidRPr="007B1B86">
              <w:rPr>
                <w:rFonts w:ascii="Arial" w:eastAsia="Times New Roman" w:hAnsi="Arial" w:cs="Arial"/>
                <w:b/>
                <w:color w:val="FFFFFF" w:themeColor="background1"/>
                <w:sz w:val="20"/>
              </w:rPr>
              <w:t>Weight</w:t>
            </w:r>
          </w:p>
        </w:tc>
        <w:tc>
          <w:tcPr>
            <w:tcW w:w="3119" w:type="dxa"/>
            <w:gridSpan w:val="2"/>
            <w:shd w:val="clear" w:color="auto" w:fill="808080" w:themeFill="background1" w:themeFillShade="80"/>
            <w:vAlign w:val="center"/>
          </w:tcPr>
          <w:p w14:paraId="45372EC3" w14:textId="77777777" w:rsidR="00D1157E" w:rsidRPr="007B1B86" w:rsidRDefault="00786B4D" w:rsidP="00786B4D">
            <w:pPr>
              <w:spacing w:before="60" w:after="60" w:line="240" w:lineRule="auto"/>
              <w:jc w:val="center"/>
              <w:rPr>
                <w:rFonts w:ascii="Arial" w:eastAsia="Times New Roman" w:hAnsi="Arial" w:cs="Arial"/>
                <w:b/>
                <w:color w:val="FFFFFF" w:themeColor="background1"/>
                <w:sz w:val="20"/>
              </w:rPr>
            </w:pPr>
            <w:r w:rsidRPr="007B1B86">
              <w:rPr>
                <w:rFonts w:ascii="Arial" w:eastAsia="Times New Roman" w:hAnsi="Arial" w:cs="Arial"/>
                <w:b/>
                <w:color w:val="FFFFFF" w:themeColor="background1"/>
                <w:sz w:val="20"/>
              </w:rPr>
              <w:t>Pulse/ blood pressure</w:t>
            </w:r>
          </w:p>
        </w:tc>
      </w:tr>
      <w:tr w:rsidR="00786B4D" w:rsidRPr="00492079" w14:paraId="3F7D1631" w14:textId="77777777" w:rsidTr="003E249A">
        <w:trPr>
          <w:trHeight w:val="1709"/>
        </w:trPr>
        <w:tc>
          <w:tcPr>
            <w:tcW w:w="392" w:type="dxa"/>
            <w:vMerge w:val="restart"/>
            <w:shd w:val="clear" w:color="auto" w:fill="808080" w:themeFill="background1" w:themeFillShade="80"/>
            <w:textDirection w:val="btLr"/>
          </w:tcPr>
          <w:p w14:paraId="20A0BEA9" w14:textId="77777777" w:rsidR="00D1157E" w:rsidRPr="00516EC4" w:rsidRDefault="00D1157E" w:rsidP="00786B4D">
            <w:pPr>
              <w:spacing w:before="60" w:after="60" w:line="240" w:lineRule="auto"/>
              <w:ind w:left="113" w:right="113"/>
              <w:jc w:val="center"/>
              <w:rPr>
                <w:rFonts w:ascii="Arial" w:eastAsia="Times New Roman" w:hAnsi="Arial" w:cs="Arial"/>
                <w:b/>
                <w:color w:val="FFFFFF" w:themeColor="background1"/>
              </w:rPr>
            </w:pPr>
            <w:r w:rsidRPr="00516EC4">
              <w:rPr>
                <w:rFonts w:ascii="Arial" w:eastAsia="Times New Roman" w:hAnsi="Arial" w:cs="Arial"/>
                <w:b/>
                <w:color w:val="FFFFFF" w:themeColor="background1"/>
              </w:rPr>
              <w:t xml:space="preserve">CHILDREN </w:t>
            </w:r>
            <w:r w:rsidRPr="00516EC4">
              <w:rPr>
                <w:rFonts w:ascii="Arial" w:eastAsia="Times New Roman" w:hAnsi="Arial" w:cs="Arial"/>
                <w:b/>
                <w:color w:val="FFFFFF" w:themeColor="background1"/>
                <w:sz w:val="20"/>
                <w:szCs w:val="20"/>
              </w:rPr>
              <w:t>(&lt;18yrs)</w:t>
            </w:r>
          </w:p>
        </w:tc>
        <w:tc>
          <w:tcPr>
            <w:tcW w:w="1984" w:type="dxa"/>
            <w:vMerge w:val="restart"/>
            <w:shd w:val="clear" w:color="auto" w:fill="BFBFBF" w:themeFill="background1" w:themeFillShade="BF"/>
            <w:vAlign w:val="center"/>
          </w:tcPr>
          <w:p w14:paraId="51BF1377" w14:textId="77777777" w:rsidR="00D1157E" w:rsidRPr="00492079" w:rsidRDefault="00D1157E" w:rsidP="00786B4D">
            <w:pPr>
              <w:spacing w:before="60" w:after="60" w:line="240" w:lineRule="auto"/>
              <w:rPr>
                <w:rFonts w:ascii="Arial" w:eastAsia="Times New Roman" w:hAnsi="Arial" w:cs="Arial"/>
                <w:b/>
                <w:sz w:val="20"/>
                <w:szCs w:val="20"/>
              </w:rPr>
            </w:pPr>
            <w:r w:rsidRPr="00492079">
              <w:rPr>
                <w:rFonts w:ascii="Arial" w:eastAsia="Times New Roman" w:hAnsi="Arial" w:cs="Arial"/>
                <w:b/>
                <w:sz w:val="20"/>
                <w:szCs w:val="20"/>
              </w:rPr>
              <w:t>Methylphenidate</w:t>
            </w:r>
            <w:r w:rsidRPr="00492079">
              <w:rPr>
                <w:rFonts w:ascii="Arial" w:eastAsia="Times New Roman" w:hAnsi="Arial" w:cs="Arial"/>
                <w:b/>
                <w:sz w:val="20"/>
                <w:szCs w:val="20"/>
                <w:vertAlign w:val="superscript"/>
              </w:rPr>
              <w:t>1</w:t>
            </w:r>
          </w:p>
          <w:p w14:paraId="2A5A8D4E" w14:textId="77777777" w:rsidR="00D1157E" w:rsidRPr="00492079" w:rsidRDefault="00D1157E" w:rsidP="00786B4D">
            <w:pPr>
              <w:spacing w:before="60" w:after="60" w:line="240" w:lineRule="auto"/>
              <w:rPr>
                <w:rFonts w:ascii="Arial" w:eastAsia="Times New Roman" w:hAnsi="Arial" w:cs="Arial"/>
                <w:b/>
                <w:sz w:val="20"/>
                <w:szCs w:val="20"/>
              </w:rPr>
            </w:pPr>
            <w:proofErr w:type="spellStart"/>
            <w:r w:rsidRPr="00492079">
              <w:rPr>
                <w:rFonts w:ascii="Arial" w:eastAsia="Times New Roman" w:hAnsi="Arial" w:cs="Arial"/>
                <w:b/>
                <w:sz w:val="20"/>
                <w:szCs w:val="20"/>
              </w:rPr>
              <w:t>Lisdexamfetamine</w:t>
            </w:r>
            <w:proofErr w:type="spellEnd"/>
            <w:r w:rsidRPr="00492079">
              <w:rPr>
                <w:rFonts w:ascii="Arial" w:eastAsia="Times New Roman" w:hAnsi="Arial" w:cs="Arial"/>
                <w:b/>
                <w:sz w:val="20"/>
                <w:szCs w:val="20"/>
              </w:rPr>
              <w:t xml:space="preserve"> </w:t>
            </w:r>
            <w:proofErr w:type="spellStart"/>
            <w:r w:rsidRPr="00492079">
              <w:rPr>
                <w:rFonts w:ascii="Arial" w:eastAsia="Times New Roman" w:hAnsi="Arial" w:cs="Arial"/>
                <w:b/>
                <w:sz w:val="20"/>
                <w:szCs w:val="20"/>
              </w:rPr>
              <w:t>Dexamfetamine</w:t>
            </w:r>
            <w:proofErr w:type="spellEnd"/>
            <w:r w:rsidRPr="00492079">
              <w:rPr>
                <w:rFonts w:ascii="Arial" w:eastAsia="Times New Roman" w:hAnsi="Arial" w:cs="Arial"/>
                <w:b/>
                <w:sz w:val="20"/>
                <w:szCs w:val="20"/>
              </w:rPr>
              <w:t xml:space="preserve"> Atomoxetine</w:t>
            </w:r>
          </w:p>
          <w:p w14:paraId="6EEBB157" w14:textId="77777777" w:rsidR="00D1157E" w:rsidRPr="00492079" w:rsidRDefault="00D1157E" w:rsidP="00786B4D">
            <w:pPr>
              <w:spacing w:before="60" w:after="60" w:line="240" w:lineRule="auto"/>
              <w:rPr>
                <w:rFonts w:ascii="Arial" w:eastAsia="Times New Roman" w:hAnsi="Arial" w:cs="Arial"/>
                <w:b/>
                <w:sz w:val="20"/>
                <w:szCs w:val="20"/>
              </w:rPr>
            </w:pPr>
            <w:r w:rsidRPr="00492079">
              <w:rPr>
                <w:rFonts w:ascii="Arial" w:eastAsia="Times New Roman" w:hAnsi="Arial" w:cs="Arial"/>
                <w:b/>
                <w:sz w:val="20"/>
                <w:szCs w:val="20"/>
              </w:rPr>
              <w:t>Guanfacine</w:t>
            </w:r>
          </w:p>
        </w:tc>
        <w:tc>
          <w:tcPr>
            <w:tcW w:w="1276" w:type="dxa"/>
            <w:shd w:val="clear" w:color="auto" w:fill="auto"/>
          </w:tcPr>
          <w:p w14:paraId="62FF45CC" w14:textId="77777777" w:rsidR="00D1157E" w:rsidRPr="00492079" w:rsidRDefault="00D1157E" w:rsidP="00786B4D">
            <w:pPr>
              <w:spacing w:before="60" w:after="60" w:line="240" w:lineRule="auto"/>
              <w:jc w:val="both"/>
              <w:rPr>
                <w:rFonts w:ascii="Arial" w:eastAsia="Times New Roman" w:hAnsi="Arial" w:cs="Arial"/>
                <w:b/>
                <w:sz w:val="18"/>
                <w:szCs w:val="18"/>
              </w:rPr>
            </w:pPr>
            <w:r w:rsidRPr="00492079">
              <w:rPr>
                <w:rFonts w:ascii="Arial" w:eastAsia="Times New Roman" w:hAnsi="Arial" w:cs="Arial"/>
                <w:b/>
                <w:sz w:val="18"/>
                <w:szCs w:val="18"/>
              </w:rPr>
              <w:t>Secondary care</w:t>
            </w:r>
          </w:p>
        </w:tc>
        <w:tc>
          <w:tcPr>
            <w:tcW w:w="3544" w:type="dxa"/>
            <w:gridSpan w:val="2"/>
            <w:tcBorders>
              <w:bottom w:val="single" w:sz="4" w:space="0" w:color="auto"/>
            </w:tcBorders>
            <w:shd w:val="clear" w:color="auto" w:fill="auto"/>
          </w:tcPr>
          <w:p w14:paraId="7625923A" w14:textId="77777777" w:rsidR="00D1157E" w:rsidRPr="00492079" w:rsidRDefault="00D1157E" w:rsidP="00786B4D">
            <w:pPr>
              <w:spacing w:before="60" w:after="60" w:line="240" w:lineRule="auto"/>
              <w:rPr>
                <w:rFonts w:ascii="Arial" w:eastAsia="Times New Roman" w:hAnsi="Arial" w:cs="Arial"/>
                <w:sz w:val="18"/>
                <w:szCs w:val="18"/>
              </w:rPr>
            </w:pPr>
            <w:r w:rsidRPr="00492079">
              <w:rPr>
                <w:rFonts w:ascii="Arial" w:eastAsia="Times New Roman" w:hAnsi="Arial" w:cs="Arial"/>
                <w:sz w:val="18"/>
                <w:szCs w:val="18"/>
              </w:rPr>
              <w:t>Baseline cardiovascular examination (including ECG if appropriate</w:t>
            </w:r>
            <w:r w:rsidRPr="00492079">
              <w:rPr>
                <w:rFonts w:ascii="Arial" w:eastAsia="Times New Roman" w:hAnsi="Arial" w:cs="Arial"/>
                <w:sz w:val="18"/>
                <w:szCs w:val="18"/>
                <w:vertAlign w:val="superscript"/>
              </w:rPr>
              <w:t>2</w:t>
            </w:r>
            <w:r w:rsidRPr="00492079">
              <w:rPr>
                <w:rFonts w:ascii="Arial" w:eastAsia="Times New Roman" w:hAnsi="Arial" w:cs="Arial"/>
                <w:sz w:val="18"/>
                <w:szCs w:val="18"/>
              </w:rPr>
              <w:t xml:space="preserve">) and assess for risk of substance misuse or diversion. </w:t>
            </w:r>
          </w:p>
          <w:p w14:paraId="1A67A339" w14:textId="77777777" w:rsidR="00D1157E" w:rsidRPr="00492079" w:rsidRDefault="00D1157E" w:rsidP="00786B4D">
            <w:pPr>
              <w:spacing w:before="60" w:after="60" w:line="240" w:lineRule="auto"/>
              <w:rPr>
                <w:rFonts w:ascii="Arial" w:eastAsia="Times New Roman" w:hAnsi="Arial" w:cs="Arial"/>
                <w:sz w:val="18"/>
                <w:szCs w:val="18"/>
              </w:rPr>
            </w:pPr>
            <w:r w:rsidRPr="00492079">
              <w:rPr>
                <w:rFonts w:ascii="Arial" w:eastAsia="Times New Roman" w:hAnsi="Arial" w:cs="Arial"/>
                <w:sz w:val="18"/>
                <w:szCs w:val="18"/>
              </w:rPr>
              <w:t>Review adverse effects and effectiveness. ADHD reviewed at least annually against a standardised rating scale.</w:t>
            </w:r>
          </w:p>
        </w:tc>
        <w:tc>
          <w:tcPr>
            <w:tcW w:w="2126" w:type="dxa"/>
            <w:gridSpan w:val="2"/>
            <w:tcBorders>
              <w:bottom w:val="single" w:sz="4" w:space="0" w:color="auto"/>
            </w:tcBorders>
            <w:shd w:val="clear" w:color="auto" w:fill="auto"/>
          </w:tcPr>
          <w:p w14:paraId="14ED87C5" w14:textId="77777777" w:rsidR="00D1157E" w:rsidRPr="00786B4D" w:rsidRDefault="00D1157E" w:rsidP="00786B4D">
            <w:pPr>
              <w:spacing w:before="60" w:after="60" w:line="240" w:lineRule="auto"/>
              <w:rPr>
                <w:rFonts w:ascii="Arial" w:eastAsia="Times New Roman" w:hAnsi="Arial" w:cs="Arial"/>
                <w:sz w:val="18"/>
                <w:szCs w:val="18"/>
              </w:rPr>
            </w:pPr>
            <w:r w:rsidRPr="00786B4D">
              <w:rPr>
                <w:rFonts w:ascii="Arial" w:eastAsia="Times New Roman" w:hAnsi="Arial" w:cs="Arial"/>
                <w:sz w:val="18"/>
                <w:szCs w:val="18"/>
              </w:rPr>
              <w:t>Baseline</w:t>
            </w:r>
            <w:r w:rsidR="00747F37" w:rsidRPr="00786B4D">
              <w:rPr>
                <w:rFonts w:ascii="Arial" w:eastAsia="Times New Roman" w:hAnsi="Arial" w:cs="Arial"/>
                <w:sz w:val="18"/>
                <w:szCs w:val="18"/>
              </w:rPr>
              <w:t xml:space="preserve">, 6 </w:t>
            </w:r>
            <w:r w:rsidR="00492079" w:rsidRPr="00786B4D">
              <w:rPr>
                <w:rFonts w:ascii="Arial" w:eastAsia="Times New Roman" w:hAnsi="Arial" w:cs="Arial"/>
                <w:sz w:val="18"/>
                <w:szCs w:val="18"/>
              </w:rPr>
              <w:t>months and</w:t>
            </w:r>
            <w:r w:rsidRPr="00786B4D">
              <w:rPr>
                <w:rFonts w:ascii="Arial" w:eastAsia="Times New Roman" w:hAnsi="Arial" w:cs="Arial"/>
                <w:sz w:val="18"/>
                <w:szCs w:val="18"/>
              </w:rPr>
              <w:t xml:space="preserve"> </w:t>
            </w:r>
            <w:r w:rsidR="00747F37" w:rsidRPr="00786B4D">
              <w:rPr>
                <w:rFonts w:ascii="Arial" w:eastAsia="Times New Roman" w:hAnsi="Arial" w:cs="Arial"/>
                <w:sz w:val="18"/>
                <w:szCs w:val="18"/>
              </w:rPr>
              <w:t xml:space="preserve">then </w:t>
            </w:r>
            <w:r w:rsidR="00747F37" w:rsidRPr="00786B4D">
              <w:rPr>
                <w:rFonts w:ascii="Arial" w:hAnsi="Arial" w:cs="Arial"/>
                <w:b/>
                <w:sz w:val="18"/>
                <w:szCs w:val="18"/>
              </w:rPr>
              <w:t>annually</w:t>
            </w:r>
            <w:r w:rsidR="00747F37" w:rsidRPr="00786B4D">
              <w:rPr>
                <w:rFonts w:ascii="Arial" w:eastAsia="Times New Roman" w:hAnsi="Arial" w:cs="Arial"/>
                <w:sz w:val="18"/>
                <w:szCs w:val="18"/>
              </w:rPr>
              <w:t xml:space="preserve"> alternating with Primary care so that the patient has height checked every 6 months.</w:t>
            </w:r>
          </w:p>
          <w:p w14:paraId="777E3DAC" w14:textId="77777777" w:rsidR="00D1157E" w:rsidRPr="00492079" w:rsidRDefault="00D1157E" w:rsidP="00786B4D">
            <w:pPr>
              <w:spacing w:before="60" w:after="60" w:line="240" w:lineRule="auto"/>
              <w:rPr>
                <w:rFonts w:ascii="Arial" w:eastAsia="Times New Roman" w:hAnsi="Arial" w:cs="Arial"/>
                <w:sz w:val="18"/>
                <w:szCs w:val="18"/>
              </w:rPr>
            </w:pPr>
            <w:r w:rsidRPr="00786B4D">
              <w:rPr>
                <w:rFonts w:ascii="Arial" w:eastAsia="Times New Roman" w:hAnsi="Arial" w:cs="Arial"/>
                <w:sz w:val="18"/>
                <w:szCs w:val="18"/>
              </w:rPr>
              <w:t>Recorded on a growth chart</w:t>
            </w:r>
          </w:p>
        </w:tc>
        <w:tc>
          <w:tcPr>
            <w:tcW w:w="2835" w:type="dxa"/>
            <w:gridSpan w:val="2"/>
            <w:tcBorders>
              <w:bottom w:val="single" w:sz="4" w:space="0" w:color="auto"/>
            </w:tcBorders>
            <w:shd w:val="clear" w:color="auto" w:fill="auto"/>
          </w:tcPr>
          <w:p w14:paraId="4110D6A9" w14:textId="36BFE5B6" w:rsidR="00D1157E" w:rsidRPr="00492079" w:rsidRDefault="00D1157E" w:rsidP="00786B4D">
            <w:pPr>
              <w:spacing w:before="60" w:after="60" w:line="240" w:lineRule="auto"/>
              <w:rPr>
                <w:rFonts w:ascii="Arial" w:eastAsia="Times New Roman" w:hAnsi="Arial" w:cs="Arial"/>
                <w:sz w:val="18"/>
                <w:szCs w:val="18"/>
                <w:u w:val="single"/>
              </w:rPr>
            </w:pPr>
            <w:r w:rsidRPr="00492079">
              <w:rPr>
                <w:rFonts w:ascii="Arial" w:eastAsia="Times New Roman" w:hAnsi="Arial" w:cs="Arial"/>
                <w:sz w:val="18"/>
                <w:szCs w:val="18"/>
              </w:rPr>
              <w:t xml:space="preserve">Recorded on centile </w:t>
            </w:r>
            <w:r w:rsidR="002F75D0" w:rsidRPr="00492079">
              <w:rPr>
                <w:rFonts w:ascii="Arial" w:eastAsia="Times New Roman" w:hAnsi="Arial" w:cs="Arial"/>
                <w:sz w:val="18"/>
                <w:szCs w:val="18"/>
              </w:rPr>
              <w:t>chart.</w:t>
            </w:r>
          </w:p>
          <w:p w14:paraId="3E07EFE1" w14:textId="77777777" w:rsidR="00D1157E" w:rsidRPr="00492079" w:rsidRDefault="00D1157E" w:rsidP="00786B4D">
            <w:pPr>
              <w:spacing w:before="60" w:after="60" w:line="240" w:lineRule="auto"/>
              <w:rPr>
                <w:rFonts w:ascii="Arial" w:eastAsia="Times New Roman" w:hAnsi="Arial" w:cs="Arial"/>
                <w:b/>
                <w:sz w:val="18"/>
                <w:szCs w:val="18"/>
                <w:u w:val="single"/>
              </w:rPr>
            </w:pPr>
            <w:r w:rsidRPr="00492079">
              <w:rPr>
                <w:rFonts w:ascii="Arial" w:eastAsia="Times New Roman" w:hAnsi="Arial" w:cs="Arial"/>
                <w:b/>
                <w:sz w:val="18"/>
                <w:szCs w:val="18"/>
              </w:rPr>
              <w:t>5 to 10 years</w:t>
            </w:r>
          </w:p>
          <w:p w14:paraId="518A6673" w14:textId="03A77039" w:rsidR="00D1157E" w:rsidRPr="00492079" w:rsidRDefault="0077259C" w:rsidP="00786B4D">
            <w:pPr>
              <w:spacing w:before="60" w:after="60" w:line="240" w:lineRule="auto"/>
              <w:rPr>
                <w:rFonts w:ascii="Arial" w:eastAsia="Times New Roman" w:hAnsi="Arial" w:cs="Arial"/>
                <w:sz w:val="18"/>
                <w:szCs w:val="18"/>
              </w:rPr>
            </w:pPr>
            <w:r w:rsidRPr="00492079">
              <w:rPr>
                <w:rFonts w:ascii="Arial" w:eastAsia="Times New Roman" w:hAnsi="Arial" w:cs="Arial"/>
                <w:sz w:val="18"/>
                <w:szCs w:val="18"/>
              </w:rPr>
              <w:t xml:space="preserve">Baseline, 3 months </w:t>
            </w:r>
            <w:r w:rsidR="00D1157E" w:rsidRPr="00492079">
              <w:rPr>
                <w:rFonts w:ascii="Arial" w:eastAsia="Times New Roman" w:hAnsi="Arial" w:cs="Arial"/>
                <w:sz w:val="18"/>
                <w:szCs w:val="18"/>
              </w:rPr>
              <w:t>and then every 6 months</w:t>
            </w:r>
            <w:r w:rsidRPr="00492079">
              <w:rPr>
                <w:rFonts w:ascii="Arial" w:eastAsia="Times New Roman" w:hAnsi="Arial" w:cs="Arial"/>
                <w:sz w:val="18"/>
                <w:szCs w:val="18"/>
                <w:vertAlign w:val="superscript"/>
              </w:rPr>
              <w:t xml:space="preserve"> </w:t>
            </w:r>
            <w:r w:rsidRPr="00492079">
              <w:rPr>
                <w:rFonts w:ascii="Arial" w:eastAsia="Times New Roman" w:hAnsi="Arial" w:cs="Arial"/>
                <w:sz w:val="18"/>
                <w:szCs w:val="18"/>
              </w:rPr>
              <w:t xml:space="preserve">alternating with primary care so that patient has weight checked every 3 </w:t>
            </w:r>
            <w:r w:rsidR="002F75D0" w:rsidRPr="00492079">
              <w:rPr>
                <w:rFonts w:ascii="Arial" w:eastAsia="Times New Roman" w:hAnsi="Arial" w:cs="Arial"/>
                <w:sz w:val="18"/>
                <w:szCs w:val="18"/>
              </w:rPr>
              <w:t>months.</w:t>
            </w:r>
          </w:p>
          <w:p w14:paraId="45893034" w14:textId="77777777" w:rsidR="00D1157E" w:rsidRPr="00492079" w:rsidRDefault="00D1157E" w:rsidP="00786B4D">
            <w:pPr>
              <w:spacing w:before="60" w:after="60" w:line="240" w:lineRule="auto"/>
              <w:rPr>
                <w:rFonts w:ascii="Arial" w:eastAsia="Times New Roman" w:hAnsi="Arial" w:cs="Arial"/>
                <w:b/>
                <w:sz w:val="18"/>
                <w:szCs w:val="18"/>
              </w:rPr>
            </w:pPr>
            <w:r w:rsidRPr="00492079">
              <w:rPr>
                <w:rFonts w:ascii="Arial" w:eastAsia="Times New Roman" w:hAnsi="Arial" w:cs="Arial"/>
                <w:b/>
                <w:sz w:val="18"/>
                <w:szCs w:val="18"/>
              </w:rPr>
              <w:t xml:space="preserve">over 10 years </w:t>
            </w:r>
          </w:p>
          <w:p w14:paraId="3B0B2058" w14:textId="77777777" w:rsidR="00D1157E" w:rsidRPr="00492079" w:rsidRDefault="000C3BAC" w:rsidP="00786B4D">
            <w:pPr>
              <w:spacing w:before="60" w:after="60" w:line="240" w:lineRule="auto"/>
              <w:rPr>
                <w:rFonts w:ascii="Arial" w:eastAsia="Times New Roman" w:hAnsi="Arial" w:cs="Arial"/>
                <w:sz w:val="18"/>
                <w:szCs w:val="18"/>
              </w:rPr>
            </w:pPr>
            <w:r w:rsidRPr="00492079">
              <w:rPr>
                <w:rFonts w:ascii="Arial" w:eastAsia="Times New Roman" w:hAnsi="Arial" w:cs="Arial"/>
                <w:sz w:val="18"/>
                <w:szCs w:val="18"/>
              </w:rPr>
              <w:t>Baseline, 3 months</w:t>
            </w:r>
            <w:r w:rsidR="0077259C" w:rsidRPr="00492079">
              <w:rPr>
                <w:rFonts w:ascii="Arial" w:eastAsia="Times New Roman" w:hAnsi="Arial" w:cs="Arial"/>
                <w:sz w:val="18"/>
                <w:szCs w:val="18"/>
              </w:rPr>
              <w:t>,</w:t>
            </w:r>
            <w:r w:rsidR="00D1157E" w:rsidRPr="00492079">
              <w:rPr>
                <w:rFonts w:ascii="Arial" w:eastAsia="Times New Roman" w:hAnsi="Arial" w:cs="Arial"/>
                <w:sz w:val="18"/>
                <w:szCs w:val="18"/>
              </w:rPr>
              <w:t xml:space="preserve"> 6 months</w:t>
            </w:r>
            <w:r w:rsidR="0077259C" w:rsidRPr="00492079">
              <w:rPr>
                <w:rFonts w:ascii="Arial" w:eastAsia="Times New Roman" w:hAnsi="Arial" w:cs="Arial"/>
                <w:sz w:val="18"/>
                <w:szCs w:val="18"/>
              </w:rPr>
              <w:t xml:space="preserve"> then annually alternating with Primary care so that patient has weight checked every 6 months.</w:t>
            </w:r>
          </w:p>
        </w:tc>
        <w:tc>
          <w:tcPr>
            <w:tcW w:w="3119" w:type="dxa"/>
            <w:gridSpan w:val="2"/>
            <w:shd w:val="clear" w:color="auto" w:fill="auto"/>
          </w:tcPr>
          <w:p w14:paraId="34E4A790" w14:textId="77777777" w:rsidR="003300BD" w:rsidRPr="00492079" w:rsidRDefault="003300BD" w:rsidP="00786B4D">
            <w:pPr>
              <w:spacing w:before="60" w:after="60" w:line="240" w:lineRule="auto"/>
              <w:rPr>
                <w:rFonts w:ascii="Arial" w:eastAsia="Times New Roman" w:hAnsi="Arial" w:cs="Arial"/>
                <w:sz w:val="18"/>
                <w:szCs w:val="18"/>
              </w:rPr>
            </w:pPr>
          </w:p>
          <w:p w14:paraId="42FCFFC0" w14:textId="77777777" w:rsidR="003300BD" w:rsidRPr="00492079" w:rsidRDefault="003300BD" w:rsidP="00786B4D">
            <w:pPr>
              <w:spacing w:before="60" w:after="60" w:line="240" w:lineRule="auto"/>
              <w:rPr>
                <w:rFonts w:ascii="Arial" w:eastAsia="Times New Roman" w:hAnsi="Arial" w:cs="Arial"/>
                <w:sz w:val="18"/>
                <w:szCs w:val="18"/>
              </w:rPr>
            </w:pPr>
          </w:p>
          <w:p w14:paraId="7EEC4AAE" w14:textId="77777777" w:rsidR="003300BD" w:rsidRPr="00492079" w:rsidRDefault="003300BD" w:rsidP="00786B4D">
            <w:pPr>
              <w:spacing w:before="60" w:after="60" w:line="240" w:lineRule="auto"/>
              <w:rPr>
                <w:rFonts w:ascii="Arial" w:eastAsia="Times New Roman" w:hAnsi="Arial" w:cs="Arial"/>
                <w:sz w:val="18"/>
                <w:szCs w:val="18"/>
              </w:rPr>
            </w:pPr>
          </w:p>
          <w:p w14:paraId="49F9DE8F" w14:textId="77777777" w:rsidR="003300BD" w:rsidRPr="00492079" w:rsidRDefault="003300BD" w:rsidP="00786B4D">
            <w:pPr>
              <w:spacing w:before="60" w:after="60" w:line="240" w:lineRule="auto"/>
              <w:rPr>
                <w:rFonts w:ascii="Arial" w:eastAsia="Times New Roman" w:hAnsi="Arial" w:cs="Arial"/>
                <w:sz w:val="18"/>
                <w:szCs w:val="18"/>
              </w:rPr>
            </w:pPr>
          </w:p>
          <w:p w14:paraId="11DBFCC7" w14:textId="77777777" w:rsidR="00D1157E" w:rsidRPr="00492079" w:rsidRDefault="00D1157E" w:rsidP="00786B4D">
            <w:pPr>
              <w:spacing w:before="60" w:after="60" w:line="240" w:lineRule="auto"/>
              <w:rPr>
                <w:rFonts w:ascii="Arial" w:eastAsia="Times New Roman" w:hAnsi="Arial" w:cs="Arial"/>
                <w:sz w:val="18"/>
                <w:szCs w:val="18"/>
              </w:rPr>
            </w:pPr>
            <w:r w:rsidRPr="00492079">
              <w:rPr>
                <w:rFonts w:ascii="Arial" w:eastAsia="Times New Roman" w:hAnsi="Arial" w:cs="Arial"/>
                <w:sz w:val="18"/>
                <w:szCs w:val="18"/>
              </w:rPr>
              <w:t>Baseline, after each dos</w:t>
            </w:r>
            <w:r w:rsidR="00747F37" w:rsidRPr="00492079">
              <w:rPr>
                <w:rFonts w:ascii="Arial" w:eastAsia="Times New Roman" w:hAnsi="Arial" w:cs="Arial"/>
                <w:sz w:val="18"/>
                <w:szCs w:val="18"/>
              </w:rPr>
              <w:t>e change and</w:t>
            </w:r>
            <w:r w:rsidR="0077259C" w:rsidRPr="00492079">
              <w:rPr>
                <w:rFonts w:ascii="Arial" w:eastAsia="Times New Roman" w:hAnsi="Arial" w:cs="Arial"/>
                <w:sz w:val="18"/>
                <w:szCs w:val="18"/>
              </w:rPr>
              <w:t xml:space="preserve"> </w:t>
            </w:r>
            <w:r w:rsidR="00AB1035" w:rsidRPr="00492079">
              <w:rPr>
                <w:rFonts w:ascii="Arial" w:eastAsia="Times New Roman" w:hAnsi="Arial" w:cs="Arial"/>
                <w:sz w:val="18"/>
                <w:szCs w:val="18"/>
              </w:rPr>
              <w:t>annually alternating with Primary</w:t>
            </w:r>
            <w:r w:rsidR="003300BD" w:rsidRPr="00492079">
              <w:rPr>
                <w:rFonts w:ascii="Arial" w:eastAsia="Times New Roman" w:hAnsi="Arial" w:cs="Arial"/>
                <w:sz w:val="18"/>
                <w:szCs w:val="18"/>
              </w:rPr>
              <w:t xml:space="preserve"> care so that patient has blood pressure</w:t>
            </w:r>
            <w:r w:rsidR="00AB1035" w:rsidRPr="00492079">
              <w:rPr>
                <w:rFonts w:ascii="Arial" w:eastAsia="Times New Roman" w:hAnsi="Arial" w:cs="Arial"/>
                <w:sz w:val="18"/>
                <w:szCs w:val="18"/>
              </w:rPr>
              <w:t xml:space="preserve"> checked every 6 months. </w:t>
            </w:r>
            <w:r w:rsidRPr="00492079">
              <w:rPr>
                <w:rFonts w:ascii="Arial" w:eastAsia="Times New Roman" w:hAnsi="Arial" w:cs="Arial"/>
                <w:sz w:val="18"/>
                <w:szCs w:val="18"/>
              </w:rPr>
              <w:t>Recorded on a centile chart.</w:t>
            </w:r>
          </w:p>
        </w:tc>
      </w:tr>
      <w:tr w:rsidR="00786B4D" w:rsidRPr="00492079" w14:paraId="387F80DC" w14:textId="77777777" w:rsidTr="003E249A">
        <w:tc>
          <w:tcPr>
            <w:tcW w:w="392" w:type="dxa"/>
            <w:vMerge/>
            <w:tcBorders>
              <w:bottom w:val="single" w:sz="4" w:space="0" w:color="auto"/>
            </w:tcBorders>
            <w:shd w:val="clear" w:color="auto" w:fill="808080" w:themeFill="background1" w:themeFillShade="80"/>
            <w:textDirection w:val="btLr"/>
          </w:tcPr>
          <w:p w14:paraId="3CC91C9C" w14:textId="77777777" w:rsidR="00D1157E" w:rsidRPr="00492079" w:rsidRDefault="00D1157E" w:rsidP="00786B4D">
            <w:pPr>
              <w:spacing w:before="60" w:after="60" w:line="240" w:lineRule="auto"/>
              <w:ind w:left="113" w:right="113"/>
              <w:jc w:val="center"/>
              <w:rPr>
                <w:rFonts w:ascii="Arial" w:eastAsia="Times New Roman" w:hAnsi="Arial" w:cs="Arial"/>
                <w:b/>
              </w:rPr>
            </w:pPr>
          </w:p>
        </w:tc>
        <w:tc>
          <w:tcPr>
            <w:tcW w:w="1984" w:type="dxa"/>
            <w:vMerge/>
            <w:shd w:val="clear" w:color="auto" w:fill="auto"/>
            <w:vAlign w:val="center"/>
          </w:tcPr>
          <w:p w14:paraId="0A5B591A" w14:textId="77777777" w:rsidR="00D1157E" w:rsidRPr="00492079" w:rsidRDefault="00D1157E" w:rsidP="00786B4D">
            <w:pPr>
              <w:spacing w:before="60" w:after="60" w:line="240" w:lineRule="auto"/>
              <w:rPr>
                <w:rFonts w:ascii="Arial" w:eastAsia="Times New Roman" w:hAnsi="Arial" w:cs="Arial"/>
                <w:b/>
                <w:sz w:val="20"/>
                <w:szCs w:val="20"/>
              </w:rPr>
            </w:pPr>
          </w:p>
        </w:tc>
        <w:tc>
          <w:tcPr>
            <w:tcW w:w="1276" w:type="dxa"/>
            <w:shd w:val="clear" w:color="auto" w:fill="auto"/>
          </w:tcPr>
          <w:p w14:paraId="6D75F869" w14:textId="77777777" w:rsidR="00D1157E" w:rsidRPr="00492079" w:rsidRDefault="00D1157E" w:rsidP="00786B4D">
            <w:pPr>
              <w:spacing w:before="60" w:after="60" w:line="240" w:lineRule="auto"/>
              <w:jc w:val="both"/>
              <w:rPr>
                <w:rFonts w:ascii="Arial" w:eastAsia="Times New Roman" w:hAnsi="Arial" w:cs="Arial"/>
                <w:b/>
                <w:sz w:val="18"/>
                <w:szCs w:val="18"/>
              </w:rPr>
            </w:pPr>
            <w:r w:rsidRPr="00492079">
              <w:rPr>
                <w:rFonts w:ascii="Arial" w:eastAsia="Times New Roman" w:hAnsi="Arial" w:cs="Arial"/>
                <w:b/>
                <w:sz w:val="18"/>
                <w:szCs w:val="18"/>
              </w:rPr>
              <w:t>Primary care</w:t>
            </w:r>
          </w:p>
        </w:tc>
        <w:tc>
          <w:tcPr>
            <w:tcW w:w="3544" w:type="dxa"/>
            <w:gridSpan w:val="2"/>
            <w:shd w:val="clear" w:color="auto" w:fill="auto"/>
          </w:tcPr>
          <w:p w14:paraId="61C7B64D" w14:textId="77777777" w:rsidR="00D1157E" w:rsidRPr="00492079" w:rsidRDefault="00D1157E" w:rsidP="00786B4D">
            <w:pPr>
              <w:spacing w:before="60" w:after="60" w:line="240" w:lineRule="auto"/>
              <w:rPr>
                <w:rFonts w:ascii="Arial" w:eastAsia="Times New Roman" w:hAnsi="Arial" w:cs="Arial"/>
                <w:sz w:val="18"/>
                <w:szCs w:val="18"/>
              </w:rPr>
            </w:pPr>
            <w:r w:rsidRPr="00492079">
              <w:rPr>
                <w:rFonts w:ascii="Arial" w:eastAsia="Times New Roman" w:hAnsi="Arial" w:cs="Arial"/>
                <w:sz w:val="18"/>
                <w:szCs w:val="18"/>
              </w:rPr>
              <w:t>Symptom control and side-effect enquiry</w:t>
            </w:r>
          </w:p>
        </w:tc>
        <w:tc>
          <w:tcPr>
            <w:tcW w:w="2126" w:type="dxa"/>
            <w:gridSpan w:val="2"/>
            <w:shd w:val="clear" w:color="auto" w:fill="808080" w:themeFill="background1" w:themeFillShade="80"/>
          </w:tcPr>
          <w:p w14:paraId="45A98003" w14:textId="77777777" w:rsidR="00D1157E" w:rsidRDefault="00D1157E" w:rsidP="00786B4D">
            <w:pPr>
              <w:spacing w:before="60" w:after="60" w:line="240" w:lineRule="auto"/>
              <w:rPr>
                <w:rFonts w:ascii="Arial" w:eastAsia="Times New Roman" w:hAnsi="Arial" w:cs="Arial"/>
                <w:sz w:val="18"/>
                <w:szCs w:val="18"/>
              </w:rPr>
            </w:pPr>
          </w:p>
          <w:p w14:paraId="12A0DD57" w14:textId="77777777" w:rsidR="00492079" w:rsidRDefault="00492079" w:rsidP="00786B4D">
            <w:pPr>
              <w:spacing w:before="60" w:after="60" w:line="240" w:lineRule="auto"/>
              <w:rPr>
                <w:rFonts w:ascii="Arial" w:eastAsia="Times New Roman" w:hAnsi="Arial" w:cs="Arial"/>
                <w:sz w:val="18"/>
                <w:szCs w:val="18"/>
              </w:rPr>
            </w:pPr>
          </w:p>
          <w:p w14:paraId="40581BD0" w14:textId="77777777" w:rsidR="00492079" w:rsidRDefault="00492079" w:rsidP="00786B4D">
            <w:pPr>
              <w:spacing w:before="60" w:after="60" w:line="240" w:lineRule="auto"/>
              <w:rPr>
                <w:rFonts w:ascii="Arial" w:eastAsia="Times New Roman" w:hAnsi="Arial" w:cs="Arial"/>
                <w:sz w:val="18"/>
                <w:szCs w:val="18"/>
              </w:rPr>
            </w:pPr>
          </w:p>
          <w:p w14:paraId="0F2FBFCD" w14:textId="77777777" w:rsidR="00492079" w:rsidRDefault="00492079" w:rsidP="00786B4D">
            <w:pPr>
              <w:spacing w:before="60" w:after="60" w:line="240" w:lineRule="auto"/>
              <w:rPr>
                <w:rFonts w:ascii="Arial" w:eastAsia="Times New Roman" w:hAnsi="Arial" w:cs="Arial"/>
                <w:sz w:val="18"/>
                <w:szCs w:val="18"/>
              </w:rPr>
            </w:pPr>
          </w:p>
          <w:p w14:paraId="35DDC8A8" w14:textId="77777777" w:rsidR="00492079" w:rsidRDefault="00492079" w:rsidP="00786B4D">
            <w:pPr>
              <w:spacing w:before="60" w:after="60" w:line="240" w:lineRule="auto"/>
              <w:rPr>
                <w:rFonts w:ascii="Arial" w:eastAsia="Times New Roman" w:hAnsi="Arial" w:cs="Arial"/>
                <w:sz w:val="18"/>
                <w:szCs w:val="18"/>
              </w:rPr>
            </w:pPr>
          </w:p>
          <w:p w14:paraId="18679CD1" w14:textId="77777777" w:rsidR="00492079" w:rsidRPr="00492079" w:rsidRDefault="00492079" w:rsidP="00786B4D">
            <w:pPr>
              <w:spacing w:before="60" w:after="60" w:line="240" w:lineRule="auto"/>
              <w:rPr>
                <w:rFonts w:ascii="Arial" w:eastAsia="Times New Roman" w:hAnsi="Arial" w:cs="Arial"/>
                <w:sz w:val="18"/>
                <w:szCs w:val="18"/>
              </w:rPr>
            </w:pPr>
          </w:p>
        </w:tc>
        <w:tc>
          <w:tcPr>
            <w:tcW w:w="2835" w:type="dxa"/>
            <w:gridSpan w:val="2"/>
            <w:shd w:val="clear" w:color="auto" w:fill="auto"/>
          </w:tcPr>
          <w:p w14:paraId="59F7B1DA" w14:textId="77777777" w:rsidR="00D1157E" w:rsidRPr="00492079" w:rsidRDefault="00D1157E" w:rsidP="00786B4D">
            <w:pPr>
              <w:spacing w:before="60" w:after="60" w:line="240" w:lineRule="auto"/>
              <w:rPr>
                <w:rFonts w:ascii="Arial" w:eastAsia="Times New Roman" w:hAnsi="Arial" w:cs="Arial"/>
                <w:b/>
                <w:sz w:val="18"/>
                <w:szCs w:val="18"/>
                <w:u w:val="single"/>
              </w:rPr>
            </w:pPr>
            <w:r w:rsidRPr="00492079">
              <w:rPr>
                <w:rFonts w:ascii="Arial" w:eastAsia="Times New Roman" w:hAnsi="Arial" w:cs="Arial"/>
                <w:b/>
                <w:sz w:val="18"/>
                <w:szCs w:val="18"/>
              </w:rPr>
              <w:t>5 to 10 years</w:t>
            </w:r>
          </w:p>
          <w:p w14:paraId="0E6ECD51" w14:textId="691E6858" w:rsidR="00D1157E" w:rsidRPr="00492079" w:rsidRDefault="00D1157E" w:rsidP="00786B4D">
            <w:pPr>
              <w:spacing w:before="60" w:after="60" w:line="240" w:lineRule="auto"/>
              <w:rPr>
                <w:rFonts w:ascii="Arial" w:eastAsia="Times New Roman" w:hAnsi="Arial" w:cs="Arial"/>
                <w:sz w:val="18"/>
                <w:szCs w:val="18"/>
              </w:rPr>
            </w:pPr>
            <w:r w:rsidRPr="00492079">
              <w:rPr>
                <w:rFonts w:ascii="Arial" w:eastAsia="Times New Roman" w:hAnsi="Arial" w:cs="Arial"/>
                <w:sz w:val="18"/>
                <w:szCs w:val="18"/>
              </w:rPr>
              <w:t xml:space="preserve">6 monthly – alternating with secondary care so that patient has weight check every 3 </w:t>
            </w:r>
            <w:r w:rsidR="002F75D0" w:rsidRPr="00492079">
              <w:rPr>
                <w:rFonts w:ascii="Arial" w:eastAsia="Times New Roman" w:hAnsi="Arial" w:cs="Arial"/>
                <w:sz w:val="18"/>
                <w:szCs w:val="18"/>
              </w:rPr>
              <w:t>months.</w:t>
            </w:r>
          </w:p>
          <w:p w14:paraId="4BC75D17" w14:textId="77777777" w:rsidR="00AB1035" w:rsidRPr="00492079" w:rsidRDefault="00AB1035" w:rsidP="00786B4D">
            <w:pPr>
              <w:spacing w:before="60" w:after="60" w:line="240" w:lineRule="auto"/>
              <w:rPr>
                <w:rFonts w:ascii="Arial" w:eastAsia="Times New Roman" w:hAnsi="Arial" w:cs="Arial"/>
                <w:b/>
                <w:sz w:val="18"/>
                <w:szCs w:val="18"/>
              </w:rPr>
            </w:pPr>
            <w:r w:rsidRPr="00492079">
              <w:rPr>
                <w:rFonts w:ascii="Arial" w:eastAsia="Times New Roman" w:hAnsi="Arial" w:cs="Arial"/>
                <w:b/>
                <w:sz w:val="18"/>
                <w:szCs w:val="18"/>
              </w:rPr>
              <w:t>Over 10 years</w:t>
            </w:r>
          </w:p>
          <w:p w14:paraId="3A4B0BD4" w14:textId="77777777" w:rsidR="00AB1035" w:rsidRPr="00492079" w:rsidRDefault="00AB1035" w:rsidP="00786B4D">
            <w:pPr>
              <w:spacing w:before="60" w:after="60" w:line="240" w:lineRule="auto"/>
              <w:rPr>
                <w:rFonts w:ascii="Arial" w:eastAsia="Times New Roman" w:hAnsi="Arial" w:cs="Arial"/>
                <w:sz w:val="18"/>
                <w:szCs w:val="18"/>
              </w:rPr>
            </w:pPr>
            <w:r w:rsidRPr="00492079">
              <w:rPr>
                <w:rFonts w:ascii="Arial" w:eastAsia="Times New Roman" w:hAnsi="Arial" w:cs="Arial"/>
                <w:sz w:val="18"/>
                <w:szCs w:val="18"/>
              </w:rPr>
              <w:t>Annually – alternating with secondary care so that patient has weight check every 6 months</w:t>
            </w:r>
          </w:p>
        </w:tc>
        <w:tc>
          <w:tcPr>
            <w:tcW w:w="3119" w:type="dxa"/>
            <w:gridSpan w:val="2"/>
            <w:shd w:val="clear" w:color="auto" w:fill="auto"/>
          </w:tcPr>
          <w:p w14:paraId="6C11A100" w14:textId="77777777" w:rsidR="003300BD" w:rsidRPr="00492079" w:rsidRDefault="003300BD" w:rsidP="00786B4D">
            <w:pPr>
              <w:spacing w:before="60" w:after="60" w:line="240" w:lineRule="auto"/>
              <w:rPr>
                <w:rFonts w:ascii="Arial" w:eastAsia="Times New Roman" w:hAnsi="Arial" w:cs="Arial"/>
                <w:color w:val="00B050"/>
                <w:sz w:val="18"/>
                <w:szCs w:val="18"/>
              </w:rPr>
            </w:pPr>
          </w:p>
          <w:p w14:paraId="7B5A66CC" w14:textId="77777777" w:rsidR="003300BD" w:rsidRPr="00492079" w:rsidRDefault="003300BD" w:rsidP="00786B4D">
            <w:pPr>
              <w:spacing w:before="60" w:after="60" w:line="240" w:lineRule="auto"/>
              <w:rPr>
                <w:rFonts w:ascii="Arial" w:eastAsia="Times New Roman" w:hAnsi="Arial" w:cs="Arial"/>
                <w:color w:val="00B050"/>
                <w:sz w:val="18"/>
                <w:szCs w:val="18"/>
              </w:rPr>
            </w:pPr>
          </w:p>
          <w:p w14:paraId="56268C3B" w14:textId="77777777" w:rsidR="003300BD" w:rsidRPr="00492079" w:rsidRDefault="003300BD" w:rsidP="00786B4D">
            <w:pPr>
              <w:spacing w:before="60" w:after="60" w:line="240" w:lineRule="auto"/>
              <w:rPr>
                <w:rFonts w:ascii="Arial" w:eastAsia="Times New Roman" w:hAnsi="Arial" w:cs="Arial"/>
                <w:sz w:val="18"/>
                <w:szCs w:val="18"/>
              </w:rPr>
            </w:pPr>
          </w:p>
          <w:p w14:paraId="1FDE9179" w14:textId="6F7F8B2B" w:rsidR="00D1157E" w:rsidRPr="00492079" w:rsidRDefault="003300BD" w:rsidP="00786B4D">
            <w:pPr>
              <w:spacing w:before="60" w:after="60" w:line="240" w:lineRule="auto"/>
              <w:rPr>
                <w:rFonts w:ascii="Arial" w:eastAsia="Times New Roman" w:hAnsi="Arial" w:cs="Arial"/>
                <w:sz w:val="18"/>
                <w:szCs w:val="18"/>
              </w:rPr>
            </w:pPr>
            <w:r w:rsidRPr="00492079">
              <w:rPr>
                <w:rFonts w:ascii="Arial" w:eastAsia="Times New Roman" w:hAnsi="Arial" w:cs="Arial"/>
                <w:sz w:val="18"/>
                <w:szCs w:val="18"/>
              </w:rPr>
              <w:t xml:space="preserve">Annually alternating with Secondary care so that patient has pulse and Blood </w:t>
            </w:r>
            <w:r w:rsidR="002F75D0" w:rsidRPr="00492079">
              <w:rPr>
                <w:rFonts w:ascii="Arial" w:eastAsia="Times New Roman" w:hAnsi="Arial" w:cs="Arial"/>
                <w:sz w:val="18"/>
                <w:szCs w:val="18"/>
              </w:rPr>
              <w:t>Pressure checked</w:t>
            </w:r>
            <w:r w:rsidRPr="00492079">
              <w:rPr>
                <w:rFonts w:ascii="Arial" w:eastAsia="Times New Roman" w:hAnsi="Arial" w:cs="Arial"/>
                <w:sz w:val="18"/>
                <w:szCs w:val="18"/>
              </w:rPr>
              <w:t xml:space="preserve"> every 6 months</w:t>
            </w:r>
          </w:p>
        </w:tc>
      </w:tr>
      <w:tr w:rsidR="00786B4D" w:rsidRPr="00492079" w14:paraId="1E831518" w14:textId="77777777" w:rsidTr="003E249A">
        <w:tc>
          <w:tcPr>
            <w:tcW w:w="392" w:type="dxa"/>
            <w:vMerge w:val="restart"/>
            <w:shd w:val="clear" w:color="auto" w:fill="808080" w:themeFill="background1" w:themeFillShade="80"/>
            <w:textDirection w:val="btLr"/>
          </w:tcPr>
          <w:p w14:paraId="0E7F50B7" w14:textId="77777777" w:rsidR="00D1157E" w:rsidRPr="00492079" w:rsidRDefault="00D1157E" w:rsidP="00786B4D">
            <w:pPr>
              <w:spacing w:before="60" w:after="60" w:line="240" w:lineRule="auto"/>
              <w:ind w:left="113" w:right="113"/>
              <w:jc w:val="center"/>
              <w:rPr>
                <w:rFonts w:ascii="Arial" w:eastAsia="Times New Roman" w:hAnsi="Arial" w:cs="Arial"/>
                <w:b/>
                <w:color w:val="FFFFFF"/>
              </w:rPr>
            </w:pPr>
            <w:r w:rsidRPr="00492079">
              <w:rPr>
                <w:rFonts w:ascii="Arial" w:eastAsia="Times New Roman" w:hAnsi="Arial" w:cs="Arial"/>
                <w:b/>
                <w:color w:val="FFFFFF"/>
              </w:rPr>
              <w:t>ADULTS</w:t>
            </w:r>
          </w:p>
        </w:tc>
        <w:tc>
          <w:tcPr>
            <w:tcW w:w="1984" w:type="dxa"/>
            <w:vMerge w:val="restart"/>
            <w:shd w:val="clear" w:color="auto" w:fill="BFBFBF" w:themeFill="background1" w:themeFillShade="BF"/>
            <w:vAlign w:val="center"/>
          </w:tcPr>
          <w:p w14:paraId="45483952" w14:textId="77777777" w:rsidR="00D1157E" w:rsidRPr="00492079" w:rsidRDefault="00D1157E" w:rsidP="00786B4D">
            <w:pPr>
              <w:spacing w:before="60" w:after="60" w:line="240" w:lineRule="auto"/>
              <w:rPr>
                <w:rFonts w:ascii="Arial" w:eastAsia="Times New Roman" w:hAnsi="Arial" w:cs="Arial"/>
                <w:b/>
                <w:sz w:val="20"/>
                <w:szCs w:val="20"/>
              </w:rPr>
            </w:pPr>
            <w:r w:rsidRPr="00492079">
              <w:rPr>
                <w:rFonts w:ascii="Arial" w:eastAsia="Times New Roman" w:hAnsi="Arial" w:cs="Arial"/>
                <w:b/>
                <w:sz w:val="20"/>
                <w:szCs w:val="20"/>
              </w:rPr>
              <w:t>Methylphenidate</w:t>
            </w:r>
            <w:r w:rsidRPr="00492079">
              <w:rPr>
                <w:rFonts w:ascii="Arial" w:eastAsia="Times New Roman" w:hAnsi="Arial" w:cs="Arial"/>
                <w:b/>
                <w:sz w:val="20"/>
                <w:szCs w:val="20"/>
                <w:vertAlign w:val="superscript"/>
              </w:rPr>
              <w:t>1</w:t>
            </w:r>
          </w:p>
          <w:p w14:paraId="7ECBEB82" w14:textId="77777777" w:rsidR="00D1157E" w:rsidRPr="00492079" w:rsidRDefault="00D1157E" w:rsidP="00786B4D">
            <w:pPr>
              <w:spacing w:before="60" w:after="60" w:line="240" w:lineRule="auto"/>
              <w:rPr>
                <w:rFonts w:ascii="Arial" w:eastAsia="Times New Roman" w:hAnsi="Arial" w:cs="Arial"/>
                <w:b/>
                <w:sz w:val="20"/>
                <w:szCs w:val="20"/>
              </w:rPr>
            </w:pPr>
            <w:proofErr w:type="spellStart"/>
            <w:r w:rsidRPr="00492079">
              <w:rPr>
                <w:rFonts w:ascii="Arial" w:eastAsia="Times New Roman" w:hAnsi="Arial" w:cs="Arial"/>
                <w:b/>
                <w:sz w:val="20"/>
                <w:szCs w:val="20"/>
              </w:rPr>
              <w:t>Lisdexamfetamine</w:t>
            </w:r>
            <w:proofErr w:type="spellEnd"/>
            <w:r w:rsidRPr="00492079">
              <w:rPr>
                <w:rFonts w:ascii="Arial" w:eastAsia="Times New Roman" w:hAnsi="Arial" w:cs="Arial"/>
                <w:b/>
                <w:sz w:val="20"/>
                <w:szCs w:val="20"/>
              </w:rPr>
              <w:t xml:space="preserve"> </w:t>
            </w:r>
            <w:proofErr w:type="spellStart"/>
            <w:r w:rsidRPr="00492079">
              <w:rPr>
                <w:rFonts w:ascii="Arial" w:eastAsia="Times New Roman" w:hAnsi="Arial" w:cs="Arial"/>
                <w:b/>
                <w:sz w:val="20"/>
                <w:szCs w:val="20"/>
              </w:rPr>
              <w:t>Dexamfetamine</w:t>
            </w:r>
            <w:proofErr w:type="spellEnd"/>
            <w:r w:rsidRPr="00492079">
              <w:rPr>
                <w:rFonts w:ascii="Arial" w:eastAsia="Times New Roman" w:hAnsi="Arial" w:cs="Arial"/>
                <w:b/>
                <w:sz w:val="20"/>
                <w:szCs w:val="20"/>
              </w:rPr>
              <w:t xml:space="preserve"> Atomoxetine</w:t>
            </w:r>
          </w:p>
          <w:p w14:paraId="7016C991" w14:textId="77777777" w:rsidR="00D1157E" w:rsidRPr="00492079" w:rsidRDefault="00D1157E" w:rsidP="00786B4D">
            <w:pPr>
              <w:spacing w:before="60" w:after="60" w:line="240" w:lineRule="auto"/>
              <w:rPr>
                <w:rFonts w:ascii="Arial" w:eastAsia="Times New Roman" w:hAnsi="Arial" w:cs="Arial"/>
                <w:b/>
                <w:sz w:val="20"/>
                <w:szCs w:val="20"/>
              </w:rPr>
            </w:pPr>
          </w:p>
        </w:tc>
        <w:tc>
          <w:tcPr>
            <w:tcW w:w="1276" w:type="dxa"/>
            <w:shd w:val="clear" w:color="auto" w:fill="auto"/>
          </w:tcPr>
          <w:p w14:paraId="353FBCE2" w14:textId="77777777" w:rsidR="00D1157E" w:rsidRPr="00492079" w:rsidRDefault="00D1157E" w:rsidP="00786B4D">
            <w:pPr>
              <w:spacing w:before="60" w:after="60" w:line="240" w:lineRule="auto"/>
              <w:jc w:val="both"/>
              <w:rPr>
                <w:rFonts w:ascii="Arial" w:eastAsia="Times New Roman" w:hAnsi="Arial" w:cs="Arial"/>
                <w:b/>
                <w:sz w:val="18"/>
                <w:szCs w:val="18"/>
              </w:rPr>
            </w:pPr>
            <w:r w:rsidRPr="00492079">
              <w:rPr>
                <w:rFonts w:ascii="Arial" w:eastAsia="Times New Roman" w:hAnsi="Arial" w:cs="Arial"/>
                <w:b/>
                <w:sz w:val="18"/>
                <w:szCs w:val="18"/>
              </w:rPr>
              <w:t>Secondary care</w:t>
            </w:r>
          </w:p>
        </w:tc>
        <w:tc>
          <w:tcPr>
            <w:tcW w:w="3544" w:type="dxa"/>
            <w:gridSpan w:val="2"/>
            <w:tcBorders>
              <w:bottom w:val="single" w:sz="4" w:space="0" w:color="auto"/>
            </w:tcBorders>
            <w:shd w:val="clear" w:color="auto" w:fill="auto"/>
          </w:tcPr>
          <w:p w14:paraId="693DF1A8" w14:textId="77777777" w:rsidR="00D1157E" w:rsidRPr="00492079" w:rsidRDefault="00D1157E" w:rsidP="00786B4D">
            <w:pPr>
              <w:spacing w:before="60" w:after="60" w:line="240" w:lineRule="auto"/>
              <w:rPr>
                <w:rFonts w:ascii="Arial" w:eastAsia="Times New Roman" w:hAnsi="Arial" w:cs="Arial"/>
                <w:sz w:val="18"/>
                <w:szCs w:val="18"/>
              </w:rPr>
            </w:pPr>
            <w:r w:rsidRPr="00492079">
              <w:rPr>
                <w:rFonts w:ascii="Arial" w:eastAsia="Times New Roman" w:hAnsi="Arial" w:cs="Arial"/>
                <w:sz w:val="18"/>
                <w:szCs w:val="18"/>
              </w:rPr>
              <w:t>Baseline cardiovascular examination (including ECG if appropriate</w:t>
            </w:r>
            <w:r w:rsidRPr="00492079">
              <w:rPr>
                <w:rFonts w:ascii="Arial" w:eastAsia="Times New Roman" w:hAnsi="Arial" w:cs="Arial"/>
                <w:sz w:val="18"/>
                <w:szCs w:val="18"/>
                <w:vertAlign w:val="superscript"/>
              </w:rPr>
              <w:t>2</w:t>
            </w:r>
            <w:r w:rsidRPr="00492079">
              <w:rPr>
                <w:rFonts w:ascii="Arial" w:eastAsia="Times New Roman" w:hAnsi="Arial" w:cs="Arial"/>
                <w:sz w:val="18"/>
                <w:szCs w:val="18"/>
              </w:rPr>
              <w:t>) and assess for risk of substance misuse or diversion.</w:t>
            </w:r>
          </w:p>
          <w:p w14:paraId="086CA5C8" w14:textId="77777777" w:rsidR="00D1157E" w:rsidRPr="00492079" w:rsidRDefault="00D1157E" w:rsidP="00786B4D">
            <w:pPr>
              <w:spacing w:before="60" w:after="60" w:line="240" w:lineRule="auto"/>
              <w:rPr>
                <w:rFonts w:ascii="Arial" w:eastAsia="Times New Roman" w:hAnsi="Arial" w:cs="Arial"/>
                <w:sz w:val="18"/>
                <w:szCs w:val="18"/>
              </w:rPr>
            </w:pPr>
            <w:r w:rsidRPr="00492079">
              <w:rPr>
                <w:rFonts w:ascii="Arial" w:eastAsia="Times New Roman" w:hAnsi="Arial" w:cs="Arial"/>
                <w:sz w:val="18"/>
                <w:szCs w:val="18"/>
              </w:rPr>
              <w:t>Review adverse effects and effectiveness. ADHD reviewed at least annually against a standardised rating scale.</w:t>
            </w:r>
          </w:p>
        </w:tc>
        <w:tc>
          <w:tcPr>
            <w:tcW w:w="2126" w:type="dxa"/>
            <w:gridSpan w:val="2"/>
            <w:tcBorders>
              <w:bottom w:val="single" w:sz="4" w:space="0" w:color="auto"/>
            </w:tcBorders>
            <w:shd w:val="clear" w:color="auto" w:fill="auto"/>
          </w:tcPr>
          <w:p w14:paraId="4B20A4C6" w14:textId="77777777" w:rsidR="00D1157E" w:rsidRPr="00492079" w:rsidRDefault="00D1157E" w:rsidP="00786B4D">
            <w:pPr>
              <w:spacing w:before="60" w:after="60" w:line="240" w:lineRule="auto"/>
              <w:rPr>
                <w:rFonts w:ascii="Arial" w:eastAsia="Times New Roman" w:hAnsi="Arial" w:cs="Arial"/>
                <w:sz w:val="18"/>
                <w:szCs w:val="18"/>
              </w:rPr>
            </w:pPr>
            <w:r w:rsidRPr="00492079">
              <w:rPr>
                <w:rFonts w:ascii="Arial" w:eastAsia="Times New Roman" w:hAnsi="Arial" w:cs="Arial"/>
                <w:sz w:val="18"/>
                <w:szCs w:val="18"/>
              </w:rPr>
              <w:t>Baseline</w:t>
            </w:r>
          </w:p>
          <w:p w14:paraId="3E5E25D5" w14:textId="77777777" w:rsidR="00D1157E" w:rsidRPr="00492079" w:rsidRDefault="00D1157E" w:rsidP="00786B4D">
            <w:pPr>
              <w:spacing w:before="60" w:after="60" w:line="240" w:lineRule="auto"/>
              <w:rPr>
                <w:rFonts w:ascii="Arial" w:eastAsia="Times New Roman" w:hAnsi="Arial" w:cs="Arial"/>
                <w:sz w:val="18"/>
                <w:szCs w:val="18"/>
              </w:rPr>
            </w:pPr>
          </w:p>
        </w:tc>
        <w:tc>
          <w:tcPr>
            <w:tcW w:w="2835" w:type="dxa"/>
            <w:gridSpan w:val="2"/>
            <w:tcBorders>
              <w:bottom w:val="single" w:sz="4" w:space="0" w:color="auto"/>
            </w:tcBorders>
            <w:shd w:val="clear" w:color="auto" w:fill="auto"/>
          </w:tcPr>
          <w:p w14:paraId="3CDE376B" w14:textId="77777777" w:rsidR="00D1157E" w:rsidRPr="00492079" w:rsidRDefault="00D1157E" w:rsidP="00786B4D">
            <w:pPr>
              <w:spacing w:before="60" w:after="60" w:line="240" w:lineRule="auto"/>
              <w:rPr>
                <w:rFonts w:ascii="Arial" w:eastAsia="Times New Roman" w:hAnsi="Arial" w:cs="Arial"/>
                <w:sz w:val="18"/>
                <w:szCs w:val="18"/>
              </w:rPr>
            </w:pPr>
            <w:r w:rsidRPr="00492079">
              <w:rPr>
                <w:rFonts w:ascii="Arial" w:eastAsia="Times New Roman" w:hAnsi="Arial" w:cs="Arial"/>
                <w:sz w:val="18"/>
                <w:szCs w:val="18"/>
              </w:rPr>
              <w:t>Baseline, then every 6 months</w:t>
            </w:r>
          </w:p>
        </w:tc>
        <w:tc>
          <w:tcPr>
            <w:tcW w:w="3119" w:type="dxa"/>
            <w:gridSpan w:val="2"/>
            <w:shd w:val="clear" w:color="auto" w:fill="auto"/>
          </w:tcPr>
          <w:p w14:paraId="3400D1F3" w14:textId="77777777" w:rsidR="00D1157E" w:rsidRPr="00492079" w:rsidRDefault="00D1157E" w:rsidP="00786B4D">
            <w:pPr>
              <w:spacing w:before="60" w:after="60" w:line="240" w:lineRule="auto"/>
              <w:rPr>
                <w:rFonts w:ascii="Arial" w:eastAsia="Times New Roman" w:hAnsi="Arial" w:cs="Arial"/>
                <w:sz w:val="18"/>
                <w:szCs w:val="18"/>
              </w:rPr>
            </w:pPr>
            <w:r w:rsidRPr="00492079">
              <w:rPr>
                <w:rFonts w:ascii="Arial" w:eastAsia="Times New Roman" w:hAnsi="Arial" w:cs="Arial"/>
                <w:sz w:val="18"/>
                <w:szCs w:val="18"/>
              </w:rPr>
              <w:t>Baseline, after each dose change and then every 6 months</w:t>
            </w:r>
            <w:r w:rsidRPr="00492079">
              <w:rPr>
                <w:rFonts w:ascii="Arial" w:eastAsia="Times New Roman" w:hAnsi="Arial" w:cs="Arial"/>
                <w:sz w:val="18"/>
                <w:szCs w:val="18"/>
                <w:vertAlign w:val="superscript"/>
              </w:rPr>
              <w:t>4</w:t>
            </w:r>
            <w:r w:rsidRPr="00492079">
              <w:rPr>
                <w:rFonts w:ascii="Arial" w:eastAsia="Times New Roman" w:hAnsi="Arial" w:cs="Arial"/>
                <w:sz w:val="18"/>
                <w:szCs w:val="18"/>
              </w:rPr>
              <w:t>.</w:t>
            </w:r>
          </w:p>
        </w:tc>
      </w:tr>
      <w:tr w:rsidR="00786B4D" w:rsidRPr="00492079" w14:paraId="7100901B" w14:textId="77777777" w:rsidTr="003E249A">
        <w:tc>
          <w:tcPr>
            <w:tcW w:w="392" w:type="dxa"/>
            <w:vMerge/>
            <w:shd w:val="clear" w:color="auto" w:fill="808080" w:themeFill="background1" w:themeFillShade="80"/>
          </w:tcPr>
          <w:p w14:paraId="25CD0DF1" w14:textId="77777777" w:rsidR="00D1157E" w:rsidRPr="00492079" w:rsidRDefault="00D1157E" w:rsidP="00786B4D">
            <w:pPr>
              <w:spacing w:before="60" w:after="60" w:line="240" w:lineRule="auto"/>
              <w:rPr>
                <w:rFonts w:ascii="Arial" w:eastAsia="Times New Roman" w:hAnsi="Arial" w:cs="Arial"/>
                <w:b/>
                <w:color w:val="FF0000"/>
                <w:sz w:val="24"/>
                <w:szCs w:val="24"/>
              </w:rPr>
            </w:pPr>
          </w:p>
        </w:tc>
        <w:tc>
          <w:tcPr>
            <w:tcW w:w="1984" w:type="dxa"/>
            <w:vMerge/>
            <w:shd w:val="clear" w:color="auto" w:fill="BFBFBF" w:themeFill="background1" w:themeFillShade="BF"/>
          </w:tcPr>
          <w:p w14:paraId="469C9052" w14:textId="77777777" w:rsidR="00D1157E" w:rsidRPr="00492079" w:rsidRDefault="00D1157E" w:rsidP="00786B4D">
            <w:pPr>
              <w:spacing w:before="60" w:after="60" w:line="240" w:lineRule="auto"/>
              <w:rPr>
                <w:rFonts w:ascii="Arial" w:eastAsia="Times New Roman" w:hAnsi="Arial" w:cs="Arial"/>
                <w:b/>
                <w:sz w:val="24"/>
                <w:szCs w:val="24"/>
              </w:rPr>
            </w:pPr>
          </w:p>
        </w:tc>
        <w:tc>
          <w:tcPr>
            <w:tcW w:w="1276" w:type="dxa"/>
            <w:shd w:val="clear" w:color="auto" w:fill="auto"/>
          </w:tcPr>
          <w:p w14:paraId="7F597559" w14:textId="77777777" w:rsidR="00D1157E" w:rsidRPr="00492079" w:rsidRDefault="00D1157E" w:rsidP="00786B4D">
            <w:pPr>
              <w:spacing w:before="60" w:after="60" w:line="240" w:lineRule="auto"/>
              <w:jc w:val="both"/>
              <w:rPr>
                <w:rFonts w:ascii="Arial" w:eastAsia="Times New Roman" w:hAnsi="Arial" w:cs="Arial"/>
                <w:b/>
                <w:sz w:val="18"/>
                <w:szCs w:val="18"/>
              </w:rPr>
            </w:pPr>
            <w:r w:rsidRPr="00492079">
              <w:rPr>
                <w:rFonts w:ascii="Arial" w:eastAsia="Times New Roman" w:hAnsi="Arial" w:cs="Arial"/>
                <w:b/>
                <w:sz w:val="18"/>
                <w:szCs w:val="18"/>
              </w:rPr>
              <w:t>Primary care</w:t>
            </w:r>
          </w:p>
        </w:tc>
        <w:tc>
          <w:tcPr>
            <w:tcW w:w="3544" w:type="dxa"/>
            <w:gridSpan w:val="2"/>
            <w:shd w:val="clear" w:color="auto" w:fill="auto"/>
          </w:tcPr>
          <w:p w14:paraId="25F7D630" w14:textId="77777777" w:rsidR="00D1157E" w:rsidRPr="00492079" w:rsidRDefault="00D1157E" w:rsidP="00786B4D">
            <w:pPr>
              <w:spacing w:before="60" w:after="60" w:line="240" w:lineRule="auto"/>
              <w:rPr>
                <w:rFonts w:ascii="Arial" w:eastAsia="Times New Roman" w:hAnsi="Arial" w:cs="Arial"/>
                <w:sz w:val="18"/>
                <w:szCs w:val="18"/>
              </w:rPr>
            </w:pPr>
            <w:r w:rsidRPr="00492079">
              <w:rPr>
                <w:rFonts w:ascii="Arial" w:eastAsia="Times New Roman" w:hAnsi="Arial" w:cs="Arial"/>
                <w:sz w:val="18"/>
                <w:szCs w:val="18"/>
              </w:rPr>
              <w:t>Symptom control and side-effect enquiry</w:t>
            </w:r>
          </w:p>
        </w:tc>
        <w:tc>
          <w:tcPr>
            <w:tcW w:w="2126" w:type="dxa"/>
            <w:gridSpan w:val="2"/>
            <w:shd w:val="clear" w:color="auto" w:fill="808080" w:themeFill="background1" w:themeFillShade="80"/>
          </w:tcPr>
          <w:p w14:paraId="2FE0B6D8" w14:textId="77777777" w:rsidR="00D1157E" w:rsidRPr="00492079" w:rsidRDefault="00D1157E" w:rsidP="00786B4D">
            <w:pPr>
              <w:spacing w:before="60" w:after="60" w:line="240" w:lineRule="auto"/>
              <w:rPr>
                <w:rFonts w:ascii="Arial" w:eastAsia="Times New Roman" w:hAnsi="Arial" w:cs="Arial"/>
                <w:sz w:val="18"/>
                <w:szCs w:val="18"/>
              </w:rPr>
            </w:pPr>
          </w:p>
        </w:tc>
        <w:tc>
          <w:tcPr>
            <w:tcW w:w="2835" w:type="dxa"/>
            <w:gridSpan w:val="2"/>
            <w:shd w:val="clear" w:color="auto" w:fill="808080" w:themeFill="background1" w:themeFillShade="80"/>
          </w:tcPr>
          <w:p w14:paraId="5AD35A47" w14:textId="77777777" w:rsidR="00D1157E" w:rsidRPr="00492079" w:rsidRDefault="00D1157E" w:rsidP="00786B4D">
            <w:pPr>
              <w:spacing w:before="60" w:after="60" w:line="240" w:lineRule="auto"/>
              <w:rPr>
                <w:rFonts w:ascii="Arial" w:eastAsia="Times New Roman" w:hAnsi="Arial" w:cs="Arial"/>
                <w:b/>
                <w:sz w:val="18"/>
                <w:szCs w:val="18"/>
              </w:rPr>
            </w:pPr>
          </w:p>
        </w:tc>
        <w:tc>
          <w:tcPr>
            <w:tcW w:w="3119" w:type="dxa"/>
            <w:gridSpan w:val="2"/>
            <w:shd w:val="clear" w:color="auto" w:fill="auto"/>
          </w:tcPr>
          <w:p w14:paraId="793B3F83" w14:textId="4191C93B" w:rsidR="00D1157E" w:rsidRPr="00492079" w:rsidRDefault="00D1157E" w:rsidP="00786B4D">
            <w:pPr>
              <w:spacing w:before="60" w:after="60" w:line="240" w:lineRule="auto"/>
              <w:rPr>
                <w:rFonts w:ascii="Arial" w:eastAsia="Times New Roman" w:hAnsi="Arial" w:cs="Arial"/>
                <w:sz w:val="18"/>
                <w:szCs w:val="18"/>
              </w:rPr>
            </w:pPr>
            <w:r w:rsidRPr="00492079">
              <w:rPr>
                <w:rFonts w:ascii="Arial" w:eastAsia="Times New Roman" w:hAnsi="Arial" w:cs="Arial"/>
                <w:sz w:val="18"/>
                <w:szCs w:val="18"/>
              </w:rPr>
              <w:t xml:space="preserve">Following agreement with </w:t>
            </w:r>
            <w:r w:rsidR="002F75D0" w:rsidRPr="00492079">
              <w:rPr>
                <w:rFonts w:ascii="Arial" w:eastAsia="Times New Roman" w:hAnsi="Arial" w:cs="Arial"/>
                <w:sz w:val="18"/>
                <w:szCs w:val="18"/>
              </w:rPr>
              <w:t>the secondary</w:t>
            </w:r>
            <w:r w:rsidRPr="00492079">
              <w:rPr>
                <w:rFonts w:ascii="Arial" w:eastAsia="Times New Roman" w:hAnsi="Arial" w:cs="Arial"/>
                <w:sz w:val="18"/>
                <w:szCs w:val="18"/>
              </w:rPr>
              <w:t xml:space="preserve"> care physician (</w:t>
            </w:r>
            <w:r w:rsidR="002F75D0" w:rsidRPr="00492079">
              <w:rPr>
                <w:rFonts w:ascii="Arial" w:eastAsia="Times New Roman" w:hAnsi="Arial" w:cs="Arial"/>
                <w:sz w:val="18"/>
                <w:szCs w:val="18"/>
              </w:rPr>
              <w:t>e.g.,</w:t>
            </w:r>
            <w:r w:rsidRPr="00492079">
              <w:rPr>
                <w:rFonts w:ascii="Arial" w:eastAsia="Times New Roman" w:hAnsi="Arial" w:cs="Arial"/>
                <w:sz w:val="18"/>
                <w:szCs w:val="18"/>
              </w:rPr>
              <w:t xml:space="preserve"> demonstrable hypertension or tachycardia) </w:t>
            </w:r>
          </w:p>
        </w:tc>
      </w:tr>
    </w:tbl>
    <w:p w14:paraId="3DA53E0A" w14:textId="79678965" w:rsidR="00D1157E" w:rsidRPr="00492079" w:rsidRDefault="00D1157E" w:rsidP="00516EC4">
      <w:pPr>
        <w:numPr>
          <w:ilvl w:val="0"/>
          <w:numId w:val="23"/>
        </w:numPr>
        <w:spacing w:before="120" w:after="120" w:line="240" w:lineRule="auto"/>
        <w:rPr>
          <w:rFonts w:ascii="Arial" w:eastAsia="Times New Roman" w:hAnsi="Arial" w:cs="Arial"/>
          <w:sz w:val="24"/>
          <w:szCs w:val="24"/>
        </w:rPr>
      </w:pPr>
      <w:r w:rsidRPr="00492079">
        <w:rPr>
          <w:rFonts w:ascii="Arial" w:eastAsia="Times New Roman" w:hAnsi="Arial" w:cs="Arial"/>
          <w:sz w:val="24"/>
          <w:szCs w:val="24"/>
        </w:rPr>
        <w:lastRenderedPageBreak/>
        <w:t xml:space="preserve">Methylphenidate MR and XL products should be prescribed by brand due to varying release </w:t>
      </w:r>
      <w:r w:rsidR="002F75D0" w:rsidRPr="00492079">
        <w:rPr>
          <w:rFonts w:ascii="Arial" w:eastAsia="Times New Roman" w:hAnsi="Arial" w:cs="Arial"/>
          <w:sz w:val="24"/>
          <w:szCs w:val="24"/>
        </w:rPr>
        <w:t>profiles.</w:t>
      </w:r>
    </w:p>
    <w:p w14:paraId="0749E492" w14:textId="77777777" w:rsidR="00D1157E" w:rsidRPr="00492079" w:rsidRDefault="00D1157E" w:rsidP="00516EC4">
      <w:pPr>
        <w:numPr>
          <w:ilvl w:val="0"/>
          <w:numId w:val="23"/>
        </w:numPr>
        <w:spacing w:before="120" w:after="120" w:line="240" w:lineRule="auto"/>
        <w:rPr>
          <w:rFonts w:ascii="Arial" w:eastAsia="Times New Roman" w:hAnsi="Arial" w:cs="Arial"/>
          <w:sz w:val="24"/>
          <w:szCs w:val="24"/>
        </w:rPr>
      </w:pPr>
      <w:proofErr w:type="gramStart"/>
      <w:r w:rsidRPr="00492079">
        <w:rPr>
          <w:rFonts w:ascii="Arial" w:eastAsia="Times New Roman" w:hAnsi="Arial" w:cs="Arial"/>
          <w:sz w:val="24"/>
          <w:szCs w:val="24"/>
        </w:rPr>
        <w:t>ECG’s</w:t>
      </w:r>
      <w:proofErr w:type="gramEnd"/>
      <w:r w:rsidRPr="00492079">
        <w:rPr>
          <w:rFonts w:ascii="Arial" w:eastAsia="Times New Roman" w:hAnsi="Arial" w:cs="Arial"/>
          <w:sz w:val="24"/>
          <w:szCs w:val="24"/>
        </w:rPr>
        <w:t xml:space="preserve"> should be conducted by secondary care with GP’s advised of incidental findings for consideration of cardiac referral</w:t>
      </w:r>
    </w:p>
    <w:p w14:paraId="38D26DD6" w14:textId="6644B8D0" w:rsidR="00D1157E" w:rsidRPr="00492079" w:rsidRDefault="00492079" w:rsidP="00516EC4">
      <w:pPr>
        <w:numPr>
          <w:ilvl w:val="0"/>
          <w:numId w:val="23"/>
        </w:numPr>
        <w:spacing w:before="120" w:after="120" w:line="240" w:lineRule="auto"/>
        <w:rPr>
          <w:rFonts w:ascii="Arial" w:eastAsia="Times New Roman" w:hAnsi="Arial" w:cs="Arial"/>
          <w:sz w:val="24"/>
          <w:szCs w:val="24"/>
        </w:rPr>
      </w:pPr>
      <w:r w:rsidRPr="00492079">
        <w:rPr>
          <w:rFonts w:ascii="Arial" w:eastAsia="Times New Roman" w:hAnsi="Arial" w:cs="Arial"/>
          <w:sz w:val="24"/>
          <w:szCs w:val="24"/>
        </w:rPr>
        <w:t xml:space="preserve">Patients </w:t>
      </w:r>
      <w:r w:rsidR="00D1157E" w:rsidRPr="00492079">
        <w:rPr>
          <w:rFonts w:ascii="Arial" w:eastAsia="Times New Roman" w:hAnsi="Arial" w:cs="Arial"/>
          <w:sz w:val="24"/>
          <w:szCs w:val="24"/>
        </w:rPr>
        <w:t>under 10 years of age need weight check every 3 months – these should be recorded in the patient</w:t>
      </w:r>
      <w:r w:rsidR="002F75D0">
        <w:rPr>
          <w:rFonts w:ascii="Arial" w:eastAsia="Times New Roman" w:hAnsi="Arial" w:cs="Arial"/>
          <w:sz w:val="24"/>
          <w:szCs w:val="24"/>
        </w:rPr>
        <w:t>’</w:t>
      </w:r>
      <w:r w:rsidR="00D1157E" w:rsidRPr="00492079">
        <w:rPr>
          <w:rFonts w:ascii="Arial" w:eastAsia="Times New Roman" w:hAnsi="Arial" w:cs="Arial"/>
          <w:sz w:val="24"/>
          <w:szCs w:val="24"/>
        </w:rPr>
        <w:t xml:space="preserve">s RED book. If there is a drastic change in appetite or any other side-effects of the medication, parents should be advised to stop the medication and speak to the specialist service. </w:t>
      </w:r>
    </w:p>
    <w:p w14:paraId="7BCC7871" w14:textId="77777777" w:rsidR="00D1157E" w:rsidRPr="00492079" w:rsidRDefault="00D1157E" w:rsidP="00516EC4">
      <w:pPr>
        <w:numPr>
          <w:ilvl w:val="0"/>
          <w:numId w:val="23"/>
        </w:numPr>
        <w:spacing w:before="120" w:after="120" w:line="240" w:lineRule="auto"/>
        <w:rPr>
          <w:rFonts w:ascii="Arial" w:eastAsia="Times New Roman" w:hAnsi="Arial" w:cs="Arial"/>
          <w:sz w:val="24"/>
          <w:szCs w:val="24"/>
        </w:rPr>
      </w:pPr>
      <w:r w:rsidRPr="00492079">
        <w:rPr>
          <w:rFonts w:ascii="Arial" w:eastAsia="Times New Roman" w:hAnsi="Arial" w:cs="Arial"/>
          <w:sz w:val="24"/>
          <w:szCs w:val="24"/>
        </w:rPr>
        <w:t xml:space="preserve">Elevated blood pressure monitoring should result in a </w:t>
      </w:r>
      <w:proofErr w:type="gramStart"/>
      <w:r w:rsidRPr="00492079">
        <w:rPr>
          <w:rFonts w:ascii="Arial" w:eastAsia="Times New Roman" w:hAnsi="Arial" w:cs="Arial"/>
          <w:sz w:val="24"/>
          <w:szCs w:val="24"/>
        </w:rPr>
        <w:t>clinician to clinician</w:t>
      </w:r>
      <w:proofErr w:type="gramEnd"/>
      <w:r w:rsidRPr="00492079">
        <w:rPr>
          <w:rFonts w:ascii="Arial" w:eastAsia="Times New Roman" w:hAnsi="Arial" w:cs="Arial"/>
          <w:sz w:val="24"/>
          <w:szCs w:val="24"/>
        </w:rPr>
        <w:t xml:space="preserve"> conversation regarding stopping the medication and managing the elevated blood pressure   </w:t>
      </w:r>
    </w:p>
    <w:p w14:paraId="6E356EC0" w14:textId="77777777" w:rsidR="00C66E98" w:rsidRPr="00492079" w:rsidRDefault="00D226EF" w:rsidP="00516EC4">
      <w:pPr>
        <w:pStyle w:val="ListParagraph"/>
        <w:spacing w:before="120" w:after="120" w:line="240" w:lineRule="auto"/>
        <w:ind w:left="363"/>
        <w:rPr>
          <w:rFonts w:ascii="Arial" w:hAnsi="Arial" w:cs="Arial"/>
          <w:b/>
          <w:color w:val="0070C0"/>
        </w:rPr>
      </w:pPr>
      <w:r w:rsidRPr="00492079">
        <w:rPr>
          <w:rFonts w:ascii="Arial" w:hAnsi="Arial" w:cs="Arial"/>
          <w:b/>
          <w:color w:val="0070C0"/>
        </w:rPr>
        <w:t>Medication Monographs</w:t>
      </w:r>
    </w:p>
    <w:p w14:paraId="12E6A494" w14:textId="77777777" w:rsidR="00D226EF" w:rsidRPr="00492079" w:rsidRDefault="00D226EF" w:rsidP="00516EC4">
      <w:pPr>
        <w:spacing w:before="120" w:after="120" w:line="240" w:lineRule="auto"/>
        <w:ind w:left="363"/>
        <w:rPr>
          <w:rFonts w:ascii="Arial" w:eastAsia="Times New Roman" w:hAnsi="Arial" w:cs="Arial"/>
          <w:sz w:val="24"/>
          <w:szCs w:val="24"/>
        </w:rPr>
      </w:pPr>
      <w:r w:rsidRPr="00492079">
        <w:rPr>
          <w:rFonts w:ascii="Arial" w:eastAsia="Times New Roman" w:hAnsi="Arial" w:cs="Arial"/>
          <w:sz w:val="24"/>
          <w:szCs w:val="24"/>
        </w:rPr>
        <w:t xml:space="preserve">For </w:t>
      </w:r>
      <w:proofErr w:type="gramStart"/>
      <w:r w:rsidRPr="00492079">
        <w:rPr>
          <w:rFonts w:ascii="Arial" w:eastAsia="Times New Roman" w:hAnsi="Arial" w:cs="Arial"/>
          <w:sz w:val="24"/>
          <w:szCs w:val="24"/>
        </w:rPr>
        <w:t>up to date</w:t>
      </w:r>
      <w:proofErr w:type="gramEnd"/>
      <w:r w:rsidRPr="00492079">
        <w:rPr>
          <w:rFonts w:ascii="Arial" w:eastAsia="Times New Roman" w:hAnsi="Arial" w:cs="Arial"/>
          <w:sz w:val="24"/>
          <w:szCs w:val="24"/>
        </w:rPr>
        <w:t xml:space="preserve"> dose ranges and contraindications or further information for individual drugs please see </w:t>
      </w:r>
    </w:p>
    <w:p w14:paraId="354479BD" w14:textId="219F1A6B" w:rsidR="00D226EF" w:rsidRPr="00492079" w:rsidRDefault="00492079" w:rsidP="00516EC4">
      <w:pPr>
        <w:numPr>
          <w:ilvl w:val="0"/>
          <w:numId w:val="30"/>
        </w:numPr>
        <w:spacing w:before="120" w:after="120" w:line="240" w:lineRule="auto"/>
        <w:ind w:left="1080"/>
        <w:rPr>
          <w:rFonts w:ascii="Arial" w:eastAsia="Times New Roman" w:hAnsi="Arial" w:cs="Arial"/>
          <w:sz w:val="24"/>
          <w:szCs w:val="24"/>
        </w:rPr>
      </w:pPr>
      <w:r w:rsidRPr="00492079">
        <w:rPr>
          <w:rFonts w:ascii="Arial" w:eastAsia="Times New Roman" w:hAnsi="Arial" w:cs="Arial"/>
          <w:sz w:val="24"/>
          <w:szCs w:val="24"/>
        </w:rPr>
        <w:t xml:space="preserve">The </w:t>
      </w:r>
      <w:r w:rsidR="00D226EF" w:rsidRPr="00492079">
        <w:rPr>
          <w:rFonts w:ascii="Arial" w:eastAsia="Times New Roman" w:hAnsi="Arial" w:cs="Arial"/>
          <w:sz w:val="24"/>
          <w:szCs w:val="24"/>
        </w:rPr>
        <w:t xml:space="preserve">current </w:t>
      </w:r>
      <w:hyperlink r:id="rId15" w:history="1">
        <w:r w:rsidR="00D226EF" w:rsidRPr="003E249A">
          <w:rPr>
            <w:rStyle w:val="Hyperlink"/>
            <w:rFonts w:ascii="Arial" w:eastAsia="Times New Roman" w:hAnsi="Arial" w:cs="Arial"/>
            <w:sz w:val="24"/>
            <w:szCs w:val="24"/>
          </w:rPr>
          <w:t>BNF</w:t>
        </w:r>
      </w:hyperlink>
    </w:p>
    <w:p w14:paraId="1EFF1570" w14:textId="21DDF7D9" w:rsidR="00D226EF" w:rsidRPr="00492079" w:rsidRDefault="002F75D0" w:rsidP="00516EC4">
      <w:pPr>
        <w:numPr>
          <w:ilvl w:val="0"/>
          <w:numId w:val="30"/>
        </w:numPr>
        <w:spacing w:before="120" w:after="120" w:line="240" w:lineRule="auto"/>
        <w:ind w:left="1080"/>
        <w:rPr>
          <w:rFonts w:ascii="Arial" w:eastAsia="Times New Roman" w:hAnsi="Arial" w:cs="Arial"/>
          <w:sz w:val="24"/>
          <w:szCs w:val="24"/>
        </w:rPr>
      </w:pPr>
      <w:hyperlink r:id="rId16" w:history="1">
        <w:r w:rsidR="00492079" w:rsidRPr="003E249A">
          <w:rPr>
            <w:rStyle w:val="Hyperlink"/>
            <w:rFonts w:ascii="Arial" w:eastAsia="Times New Roman" w:hAnsi="Arial" w:cs="Arial"/>
            <w:sz w:val="24"/>
            <w:szCs w:val="24"/>
          </w:rPr>
          <w:t xml:space="preserve">Summary </w:t>
        </w:r>
        <w:r w:rsidR="00D226EF" w:rsidRPr="003E249A">
          <w:rPr>
            <w:rStyle w:val="Hyperlink"/>
            <w:rFonts w:ascii="Arial" w:eastAsia="Times New Roman" w:hAnsi="Arial" w:cs="Arial"/>
            <w:sz w:val="24"/>
            <w:szCs w:val="24"/>
          </w:rPr>
          <w:t>of product characteristics for the individual drug</w:t>
        </w:r>
      </w:hyperlink>
    </w:p>
    <w:p w14:paraId="3AE631FE" w14:textId="77777777" w:rsidR="00492079" w:rsidRDefault="00492079" w:rsidP="00492079">
      <w:pPr>
        <w:pStyle w:val="ListParagraph"/>
        <w:spacing w:before="120" w:after="120" w:line="240" w:lineRule="auto"/>
        <w:ind w:left="0"/>
        <w:rPr>
          <w:rFonts w:ascii="Arial" w:hAnsi="Arial" w:cs="Arial"/>
          <w:b/>
          <w:color w:val="0070C0"/>
        </w:rPr>
      </w:pPr>
    </w:p>
    <w:p w14:paraId="2C18C1FB" w14:textId="77777777" w:rsidR="00492079" w:rsidRDefault="00492079" w:rsidP="00492079">
      <w:pPr>
        <w:pStyle w:val="ListParagraph"/>
        <w:spacing w:before="120" w:after="120" w:line="240" w:lineRule="auto"/>
        <w:ind w:left="0"/>
        <w:rPr>
          <w:rFonts w:ascii="Arial" w:hAnsi="Arial" w:cs="Arial"/>
          <w:b/>
          <w:color w:val="0070C0"/>
        </w:rPr>
      </w:pPr>
    </w:p>
    <w:p w14:paraId="4CD67274" w14:textId="77777777" w:rsidR="00492079" w:rsidRDefault="00492079" w:rsidP="00492079">
      <w:pPr>
        <w:pStyle w:val="ListParagraph"/>
        <w:spacing w:before="120" w:after="120" w:line="240" w:lineRule="auto"/>
        <w:ind w:left="0"/>
        <w:rPr>
          <w:rFonts w:ascii="Arial" w:hAnsi="Arial" w:cs="Arial"/>
          <w:b/>
          <w:color w:val="0070C0"/>
        </w:rPr>
      </w:pPr>
    </w:p>
    <w:p w14:paraId="59F1B5CA" w14:textId="77777777" w:rsidR="00492079" w:rsidRDefault="00492079" w:rsidP="00492079">
      <w:pPr>
        <w:pStyle w:val="ListParagraph"/>
        <w:spacing w:before="120" w:after="120" w:line="240" w:lineRule="auto"/>
        <w:ind w:left="0"/>
        <w:rPr>
          <w:rFonts w:ascii="Arial" w:hAnsi="Arial" w:cs="Arial"/>
          <w:b/>
          <w:color w:val="0070C0"/>
        </w:rPr>
      </w:pPr>
    </w:p>
    <w:p w14:paraId="28D7E492" w14:textId="77777777" w:rsidR="00FF4661" w:rsidRDefault="00FF4661" w:rsidP="00492079">
      <w:pPr>
        <w:pStyle w:val="ListParagraph"/>
        <w:spacing w:before="120" w:after="120" w:line="240" w:lineRule="auto"/>
        <w:ind w:left="0"/>
        <w:rPr>
          <w:rFonts w:ascii="Arial" w:hAnsi="Arial" w:cs="Arial"/>
          <w:b/>
          <w:color w:val="0070C0"/>
        </w:rPr>
        <w:sectPr w:rsidR="00FF4661" w:rsidSect="00D1157E">
          <w:footerReference w:type="default" r:id="rId17"/>
          <w:pgSz w:w="16838" w:h="11906" w:orient="landscape" w:code="9"/>
          <w:pgMar w:top="992" w:right="720" w:bottom="851" w:left="720" w:header="567" w:footer="227" w:gutter="0"/>
          <w:cols w:space="708"/>
          <w:docGrid w:linePitch="360"/>
        </w:sectPr>
      </w:pPr>
    </w:p>
    <w:p w14:paraId="7D6874E0" w14:textId="77777777" w:rsidR="00492079" w:rsidRDefault="00492079" w:rsidP="00492079">
      <w:pPr>
        <w:pStyle w:val="ListParagraph"/>
        <w:spacing w:before="120" w:after="120" w:line="240" w:lineRule="auto"/>
        <w:ind w:left="0"/>
        <w:rPr>
          <w:rFonts w:ascii="Arial" w:hAnsi="Arial" w:cs="Arial"/>
          <w:b/>
          <w:color w:val="0070C0"/>
        </w:rPr>
      </w:pPr>
    </w:p>
    <w:p w14:paraId="2B58AC4A" w14:textId="77777777" w:rsidR="00E47A0B" w:rsidRDefault="00E47A0B" w:rsidP="00492079">
      <w:pPr>
        <w:pStyle w:val="ListParagraph"/>
        <w:spacing w:before="240" w:after="240" w:line="240" w:lineRule="auto"/>
        <w:ind w:left="0"/>
        <w:rPr>
          <w:rFonts w:ascii="Arial" w:hAnsi="Arial" w:cs="Arial"/>
          <w:b/>
          <w:color w:val="0070C0"/>
        </w:rPr>
      </w:pPr>
      <w:r w:rsidRPr="00492079">
        <w:rPr>
          <w:rFonts w:ascii="Arial" w:hAnsi="Arial" w:cs="Arial"/>
          <w:b/>
          <w:color w:val="0070C0"/>
        </w:rPr>
        <w:t xml:space="preserve">Table 1: </w:t>
      </w:r>
      <w:r w:rsidR="00F8262F" w:rsidRPr="00492079">
        <w:rPr>
          <w:rFonts w:ascii="Arial" w:hAnsi="Arial" w:cs="Arial"/>
          <w:b/>
          <w:color w:val="0070C0"/>
        </w:rPr>
        <w:t>STIMUL</w:t>
      </w:r>
      <w:r w:rsidR="00796595" w:rsidRPr="00492079">
        <w:rPr>
          <w:rFonts w:ascii="Arial" w:hAnsi="Arial" w:cs="Arial"/>
          <w:b/>
          <w:color w:val="0070C0"/>
        </w:rPr>
        <w:t>ANT DRUG TREATMENT FOR ADHD</w:t>
      </w:r>
    </w:p>
    <w:p w14:paraId="03D6508E" w14:textId="77777777" w:rsidR="00FF4661" w:rsidRDefault="00FF4661" w:rsidP="00FF4661">
      <w:pPr>
        <w:pStyle w:val="ListParagraph"/>
        <w:spacing w:before="240" w:after="240" w:line="240" w:lineRule="auto"/>
        <w:ind w:left="907"/>
        <w:rPr>
          <w:rFonts w:ascii="Arial" w:hAnsi="Arial" w:cs="Arial"/>
          <w:b/>
          <w:color w:val="0070C0"/>
        </w:rPr>
      </w:pPr>
      <w:r>
        <w:rPr>
          <w:rFonts w:ascii="Arial" w:hAnsi="Arial" w:cs="Arial"/>
          <w:b/>
          <w:color w:val="0070C0"/>
        </w:rPr>
        <w:t xml:space="preserve">Methylphenidate and dexamphetamine are schedule 2 controlled drugs – prescription writing requirements apply. </w:t>
      </w:r>
    </w:p>
    <w:p w14:paraId="753CEDFD" w14:textId="738C236E" w:rsidR="00FA2F48" w:rsidRPr="00492079" w:rsidRDefault="00FA2F48" w:rsidP="00FF4661">
      <w:pPr>
        <w:pStyle w:val="ListParagraph"/>
        <w:spacing w:before="240" w:after="240" w:line="240" w:lineRule="auto"/>
        <w:ind w:left="907"/>
        <w:rPr>
          <w:rFonts w:ascii="Arial" w:hAnsi="Arial" w:cs="Arial"/>
          <w:b/>
          <w:color w:val="0070C0"/>
        </w:rPr>
      </w:pPr>
      <w:r>
        <w:rPr>
          <w:rFonts w:ascii="Arial" w:hAnsi="Arial" w:cs="Arial"/>
          <w:b/>
          <w:color w:val="0070C0"/>
        </w:rPr>
        <w:t>Be aware whilst NICE recommend the use of medication from 5 years, they are only licensed for 6 years and over.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3409"/>
        <w:gridCol w:w="3337"/>
        <w:gridCol w:w="3307"/>
      </w:tblGrid>
      <w:tr w:rsidR="00FF4661" w:rsidRPr="00492079" w14:paraId="17852DFE" w14:textId="77777777" w:rsidTr="00FF4661">
        <w:tc>
          <w:tcPr>
            <w:tcW w:w="3482" w:type="dxa"/>
            <w:shd w:val="clear" w:color="auto" w:fill="7F7F7F" w:themeFill="text1" w:themeFillTint="80"/>
          </w:tcPr>
          <w:p w14:paraId="4FDCF781" w14:textId="77777777" w:rsidR="00D226EF" w:rsidRPr="00492079" w:rsidRDefault="00D226EF" w:rsidP="00492079">
            <w:pPr>
              <w:spacing w:before="120" w:after="120"/>
              <w:rPr>
                <w:rFonts w:ascii="Arial" w:eastAsia="Times New Roman" w:hAnsi="Arial" w:cs="Arial"/>
                <w:b/>
                <w:color w:val="FFFFFF" w:themeColor="background1"/>
              </w:rPr>
            </w:pPr>
            <w:r w:rsidRPr="00492079">
              <w:rPr>
                <w:rFonts w:ascii="Arial" w:eastAsia="Times New Roman" w:hAnsi="Arial" w:cs="Arial"/>
                <w:b/>
                <w:color w:val="FFFFFF" w:themeColor="background1"/>
              </w:rPr>
              <w:t xml:space="preserve">Drug, dose </w:t>
            </w:r>
          </w:p>
        </w:tc>
        <w:tc>
          <w:tcPr>
            <w:tcW w:w="3403" w:type="dxa"/>
            <w:shd w:val="clear" w:color="auto" w:fill="7F7F7F" w:themeFill="text1" w:themeFillTint="80"/>
          </w:tcPr>
          <w:p w14:paraId="6B0FF83C" w14:textId="77777777" w:rsidR="00D226EF" w:rsidRPr="00492079" w:rsidRDefault="00D226EF" w:rsidP="00492079">
            <w:pPr>
              <w:spacing w:before="120" w:after="120"/>
              <w:rPr>
                <w:rFonts w:ascii="Arial" w:eastAsia="Times New Roman" w:hAnsi="Arial" w:cs="Arial"/>
                <w:b/>
                <w:color w:val="FFFFFF" w:themeColor="background1"/>
              </w:rPr>
            </w:pPr>
            <w:r w:rsidRPr="00492079">
              <w:rPr>
                <w:rFonts w:ascii="Arial" w:eastAsia="Times New Roman" w:hAnsi="Arial" w:cs="Arial"/>
                <w:b/>
                <w:color w:val="FFFFFF" w:themeColor="background1"/>
              </w:rPr>
              <w:t>Adverse effects</w:t>
            </w:r>
          </w:p>
        </w:tc>
        <w:tc>
          <w:tcPr>
            <w:tcW w:w="3394" w:type="dxa"/>
            <w:shd w:val="clear" w:color="auto" w:fill="7F7F7F" w:themeFill="text1" w:themeFillTint="80"/>
          </w:tcPr>
          <w:p w14:paraId="5EB316F9" w14:textId="77777777" w:rsidR="00D226EF" w:rsidRPr="00492079" w:rsidRDefault="00D226EF" w:rsidP="00492079">
            <w:pPr>
              <w:pStyle w:val="ListParagraph"/>
              <w:spacing w:before="120" w:after="120"/>
              <w:ind w:left="0"/>
              <w:rPr>
                <w:rFonts w:ascii="Arial" w:hAnsi="Arial" w:cs="Arial"/>
                <w:b/>
                <w:color w:val="FFFFFF" w:themeColor="background1"/>
              </w:rPr>
            </w:pPr>
            <w:proofErr w:type="gramStart"/>
            <w:r w:rsidRPr="00492079">
              <w:rPr>
                <w:rFonts w:ascii="Arial" w:eastAsia="Times New Roman" w:hAnsi="Arial" w:cs="Arial"/>
                <w:b/>
                <w:color w:val="FFFFFF" w:themeColor="background1"/>
              </w:rPr>
              <w:t>Clinical</w:t>
            </w:r>
            <w:proofErr w:type="gramEnd"/>
            <w:r w:rsidRPr="00492079">
              <w:rPr>
                <w:rFonts w:ascii="Arial" w:eastAsia="Times New Roman" w:hAnsi="Arial" w:cs="Arial"/>
                <w:b/>
                <w:color w:val="FFFFFF" w:themeColor="background1"/>
              </w:rPr>
              <w:t xml:space="preserve"> relevant drug interactions</w:t>
            </w:r>
          </w:p>
        </w:tc>
      </w:tr>
      <w:tr w:rsidR="00FF4661" w:rsidRPr="00492079" w14:paraId="375DE1F2" w14:textId="77777777" w:rsidTr="00FF4661">
        <w:trPr>
          <w:trHeight w:val="3909"/>
        </w:trPr>
        <w:tc>
          <w:tcPr>
            <w:tcW w:w="3482" w:type="dxa"/>
            <w:shd w:val="clear" w:color="auto" w:fill="D9D9D9" w:themeFill="background1" w:themeFillShade="D9"/>
          </w:tcPr>
          <w:p w14:paraId="6B423373" w14:textId="77777777" w:rsidR="00D226EF" w:rsidRPr="00492079" w:rsidRDefault="00D226EF" w:rsidP="00492079">
            <w:pPr>
              <w:pStyle w:val="ListParagraph"/>
              <w:spacing w:before="120" w:after="120"/>
              <w:ind w:left="0"/>
              <w:rPr>
                <w:rFonts w:ascii="Arial" w:hAnsi="Arial" w:cs="Arial"/>
                <w:b/>
                <w:color w:val="000000" w:themeColor="text1"/>
              </w:rPr>
            </w:pPr>
            <w:r w:rsidRPr="00492079">
              <w:rPr>
                <w:rFonts w:ascii="Arial" w:hAnsi="Arial" w:cs="Arial"/>
                <w:b/>
                <w:color w:val="000000" w:themeColor="text1"/>
              </w:rPr>
              <w:t xml:space="preserve">Methylphenidate </w:t>
            </w:r>
          </w:p>
          <w:p w14:paraId="65BCBC3C" w14:textId="77777777" w:rsidR="00D226EF" w:rsidRPr="00492079" w:rsidRDefault="00D226EF" w:rsidP="00492079">
            <w:pPr>
              <w:spacing w:before="120" w:after="120"/>
              <w:rPr>
                <w:rFonts w:ascii="Arial" w:hAnsi="Arial" w:cs="Arial"/>
                <w:b/>
                <w:i/>
                <w:color w:val="000000" w:themeColor="text1"/>
                <w:sz w:val="20"/>
                <w:szCs w:val="20"/>
              </w:rPr>
            </w:pPr>
            <w:r w:rsidRPr="00492079">
              <w:rPr>
                <w:rFonts w:ascii="Arial" w:hAnsi="Arial" w:cs="Arial"/>
                <w:b/>
                <w:i/>
                <w:color w:val="000000" w:themeColor="text1"/>
                <w:sz w:val="20"/>
                <w:szCs w:val="20"/>
              </w:rPr>
              <w:t>Short acting</w:t>
            </w:r>
          </w:p>
          <w:p w14:paraId="148E3493" w14:textId="2F4038AA" w:rsidR="00D226EF" w:rsidRPr="00492079" w:rsidRDefault="00D226EF" w:rsidP="00492079">
            <w:pPr>
              <w:pStyle w:val="ListParagraph"/>
              <w:numPr>
                <w:ilvl w:val="0"/>
                <w:numId w:val="13"/>
              </w:numPr>
              <w:spacing w:before="120" w:after="120"/>
              <w:rPr>
                <w:rFonts w:ascii="Arial" w:hAnsi="Arial" w:cs="Arial"/>
                <w:color w:val="000000" w:themeColor="text1"/>
                <w:sz w:val="20"/>
                <w:szCs w:val="20"/>
              </w:rPr>
            </w:pPr>
            <w:r w:rsidRPr="00492079">
              <w:rPr>
                <w:rFonts w:ascii="Arial" w:hAnsi="Arial" w:cs="Arial"/>
                <w:color w:val="000000" w:themeColor="text1"/>
                <w:sz w:val="20"/>
                <w:szCs w:val="20"/>
              </w:rPr>
              <w:t xml:space="preserve">&lt; </w:t>
            </w:r>
            <w:r w:rsidR="00FA2F48">
              <w:rPr>
                <w:rFonts w:ascii="Arial" w:hAnsi="Arial" w:cs="Arial"/>
                <w:color w:val="000000" w:themeColor="text1"/>
                <w:sz w:val="20"/>
                <w:szCs w:val="20"/>
              </w:rPr>
              <w:t>5</w:t>
            </w:r>
            <w:r w:rsidRPr="00492079">
              <w:rPr>
                <w:rFonts w:ascii="Arial" w:hAnsi="Arial" w:cs="Arial"/>
                <w:color w:val="000000" w:themeColor="text1"/>
                <w:sz w:val="20"/>
                <w:szCs w:val="20"/>
              </w:rPr>
              <w:t xml:space="preserve">years - unlicensed </w:t>
            </w:r>
          </w:p>
          <w:p w14:paraId="2E8398A9" w14:textId="4DCA8DC6" w:rsidR="00D226EF" w:rsidRPr="00492079" w:rsidRDefault="00D226EF" w:rsidP="00492079">
            <w:pPr>
              <w:pStyle w:val="ListParagraph"/>
              <w:numPr>
                <w:ilvl w:val="0"/>
                <w:numId w:val="13"/>
              </w:numPr>
              <w:spacing w:before="120" w:after="120"/>
              <w:rPr>
                <w:rFonts w:ascii="Arial" w:hAnsi="Arial" w:cs="Arial"/>
                <w:color w:val="000000" w:themeColor="text1"/>
                <w:sz w:val="20"/>
                <w:szCs w:val="20"/>
              </w:rPr>
            </w:pPr>
            <w:r w:rsidRPr="00492079">
              <w:rPr>
                <w:rFonts w:ascii="Arial" w:hAnsi="Arial" w:cs="Arial"/>
                <w:color w:val="000000" w:themeColor="text1"/>
                <w:sz w:val="20"/>
                <w:szCs w:val="20"/>
              </w:rPr>
              <w:t>&gt;</w:t>
            </w:r>
            <w:r w:rsidR="00FA2F48">
              <w:rPr>
                <w:rFonts w:ascii="Arial" w:hAnsi="Arial" w:cs="Arial"/>
                <w:color w:val="000000" w:themeColor="text1"/>
                <w:sz w:val="20"/>
                <w:szCs w:val="20"/>
              </w:rPr>
              <w:t>5</w:t>
            </w:r>
            <w:r w:rsidRPr="00492079">
              <w:rPr>
                <w:rFonts w:ascii="Arial" w:hAnsi="Arial" w:cs="Arial"/>
                <w:color w:val="000000" w:themeColor="text1"/>
                <w:sz w:val="20"/>
                <w:szCs w:val="20"/>
              </w:rPr>
              <w:t xml:space="preserve"> years – 17 years – up to 60mg daily in divided doses up to 90mg if under specialist care</w:t>
            </w:r>
          </w:p>
          <w:p w14:paraId="09845A26" w14:textId="579B10ED" w:rsidR="00D226EF" w:rsidRPr="00492079" w:rsidRDefault="00D226EF" w:rsidP="00492079">
            <w:pPr>
              <w:pStyle w:val="ListParagraph"/>
              <w:numPr>
                <w:ilvl w:val="0"/>
                <w:numId w:val="13"/>
              </w:numPr>
              <w:spacing w:before="120" w:after="120"/>
              <w:rPr>
                <w:rFonts w:ascii="Arial" w:hAnsi="Arial" w:cs="Arial"/>
                <w:color w:val="000000" w:themeColor="text1"/>
                <w:sz w:val="20"/>
                <w:szCs w:val="20"/>
              </w:rPr>
            </w:pPr>
            <w:r w:rsidRPr="00492079">
              <w:rPr>
                <w:rFonts w:ascii="Arial" w:hAnsi="Arial" w:cs="Arial"/>
                <w:color w:val="000000" w:themeColor="text1"/>
                <w:sz w:val="20"/>
                <w:szCs w:val="20"/>
              </w:rPr>
              <w:t>&gt;17</w:t>
            </w:r>
            <w:r w:rsidR="002F75D0" w:rsidRPr="00492079">
              <w:rPr>
                <w:rFonts w:ascii="Arial" w:hAnsi="Arial" w:cs="Arial"/>
                <w:color w:val="000000" w:themeColor="text1"/>
                <w:sz w:val="20"/>
                <w:szCs w:val="20"/>
              </w:rPr>
              <w:t>years up</w:t>
            </w:r>
            <w:r w:rsidRPr="00492079">
              <w:rPr>
                <w:rFonts w:ascii="Arial" w:hAnsi="Arial" w:cs="Arial"/>
                <w:color w:val="000000" w:themeColor="text1"/>
                <w:sz w:val="20"/>
                <w:szCs w:val="20"/>
              </w:rPr>
              <w:t xml:space="preserve"> to 100mg</w:t>
            </w:r>
          </w:p>
          <w:p w14:paraId="3583139C" w14:textId="77777777" w:rsidR="00D226EF" w:rsidRPr="00492079" w:rsidRDefault="00D226EF" w:rsidP="00492079">
            <w:pPr>
              <w:spacing w:before="120" w:after="120"/>
              <w:rPr>
                <w:rFonts w:ascii="Arial" w:hAnsi="Arial" w:cs="Arial"/>
                <w:b/>
                <w:i/>
                <w:color w:val="000000" w:themeColor="text1"/>
                <w:sz w:val="20"/>
                <w:szCs w:val="20"/>
              </w:rPr>
            </w:pPr>
            <w:r w:rsidRPr="00492079">
              <w:rPr>
                <w:rFonts w:ascii="Arial" w:hAnsi="Arial" w:cs="Arial"/>
                <w:b/>
                <w:i/>
                <w:color w:val="000000" w:themeColor="text1"/>
                <w:sz w:val="20"/>
                <w:szCs w:val="20"/>
              </w:rPr>
              <w:t>Long acting</w:t>
            </w:r>
          </w:p>
          <w:p w14:paraId="00941D2B" w14:textId="77777777" w:rsidR="00D226EF" w:rsidRPr="00007705" w:rsidRDefault="00D226EF" w:rsidP="00492079">
            <w:pPr>
              <w:spacing w:before="120" w:after="120"/>
              <w:rPr>
                <w:rFonts w:ascii="Arial" w:hAnsi="Arial" w:cs="Arial"/>
                <w:color w:val="000000" w:themeColor="text1"/>
                <w:sz w:val="20"/>
                <w:szCs w:val="20"/>
              </w:rPr>
            </w:pPr>
            <w:r w:rsidRPr="00007705">
              <w:rPr>
                <w:rFonts w:ascii="Arial" w:hAnsi="Arial" w:cs="Arial"/>
                <w:color w:val="000000" w:themeColor="text1"/>
                <w:sz w:val="20"/>
                <w:szCs w:val="20"/>
              </w:rPr>
              <w:t xml:space="preserve">Concerta XL </w:t>
            </w:r>
          </w:p>
          <w:p w14:paraId="4D2FB7C3" w14:textId="6EADD1B9" w:rsidR="00D226EF" w:rsidRPr="00007705" w:rsidRDefault="00D226EF" w:rsidP="00492079">
            <w:pPr>
              <w:pStyle w:val="ListParagraph"/>
              <w:numPr>
                <w:ilvl w:val="0"/>
                <w:numId w:val="14"/>
              </w:numPr>
              <w:spacing w:before="120" w:after="120"/>
              <w:rPr>
                <w:rFonts w:ascii="Arial" w:hAnsi="Arial" w:cs="Arial"/>
                <w:color w:val="000000" w:themeColor="text1"/>
                <w:sz w:val="20"/>
                <w:szCs w:val="20"/>
              </w:rPr>
            </w:pPr>
            <w:r w:rsidRPr="00007705">
              <w:rPr>
                <w:rFonts w:ascii="Arial" w:hAnsi="Arial" w:cs="Arial"/>
                <w:color w:val="000000" w:themeColor="text1"/>
                <w:sz w:val="20"/>
                <w:szCs w:val="20"/>
              </w:rPr>
              <w:t xml:space="preserve">&lt; </w:t>
            </w:r>
            <w:r w:rsidR="00FA2F48">
              <w:rPr>
                <w:rFonts w:ascii="Arial" w:hAnsi="Arial" w:cs="Arial"/>
                <w:color w:val="000000" w:themeColor="text1"/>
                <w:sz w:val="20"/>
                <w:szCs w:val="20"/>
              </w:rPr>
              <w:t>5</w:t>
            </w:r>
            <w:r w:rsidRPr="00007705">
              <w:rPr>
                <w:rFonts w:ascii="Arial" w:hAnsi="Arial" w:cs="Arial"/>
                <w:color w:val="000000" w:themeColor="text1"/>
                <w:sz w:val="20"/>
                <w:szCs w:val="20"/>
              </w:rPr>
              <w:t xml:space="preserve">years unlicensed </w:t>
            </w:r>
          </w:p>
          <w:p w14:paraId="3AA99613" w14:textId="1638EEA5" w:rsidR="00D226EF" w:rsidRPr="00007705" w:rsidRDefault="00D226EF" w:rsidP="00492079">
            <w:pPr>
              <w:pStyle w:val="ListParagraph"/>
              <w:numPr>
                <w:ilvl w:val="0"/>
                <w:numId w:val="14"/>
              </w:numPr>
              <w:spacing w:before="120" w:after="120"/>
              <w:rPr>
                <w:rFonts w:ascii="Arial" w:hAnsi="Arial" w:cs="Arial"/>
                <w:color w:val="000000" w:themeColor="text1"/>
                <w:sz w:val="20"/>
                <w:szCs w:val="20"/>
              </w:rPr>
            </w:pPr>
            <w:r w:rsidRPr="00007705">
              <w:rPr>
                <w:rFonts w:ascii="Arial" w:hAnsi="Arial" w:cs="Arial"/>
                <w:color w:val="000000" w:themeColor="text1"/>
                <w:sz w:val="20"/>
                <w:szCs w:val="20"/>
              </w:rPr>
              <w:t>&gt;</w:t>
            </w:r>
            <w:r w:rsidR="000E3E81">
              <w:rPr>
                <w:rFonts w:ascii="Arial" w:hAnsi="Arial" w:cs="Arial"/>
                <w:color w:val="000000" w:themeColor="text1"/>
                <w:sz w:val="20"/>
                <w:szCs w:val="20"/>
              </w:rPr>
              <w:t>5</w:t>
            </w:r>
            <w:r w:rsidRPr="00007705">
              <w:rPr>
                <w:rFonts w:ascii="Arial" w:hAnsi="Arial" w:cs="Arial"/>
                <w:color w:val="000000" w:themeColor="text1"/>
                <w:sz w:val="20"/>
                <w:szCs w:val="20"/>
              </w:rPr>
              <w:t xml:space="preserve"> years up to 108mg </w:t>
            </w:r>
            <w:r w:rsidR="00C01C47" w:rsidRPr="00007705">
              <w:rPr>
                <w:rFonts w:ascii="Arial" w:hAnsi="Arial" w:cs="Arial"/>
                <w:color w:val="000000" w:themeColor="text1"/>
                <w:sz w:val="20"/>
                <w:szCs w:val="20"/>
              </w:rPr>
              <w:t>(only</w:t>
            </w:r>
            <w:r w:rsidRPr="00007705">
              <w:rPr>
                <w:rFonts w:ascii="Arial" w:hAnsi="Arial" w:cs="Arial"/>
                <w:color w:val="000000" w:themeColor="text1"/>
                <w:sz w:val="20"/>
                <w:szCs w:val="20"/>
              </w:rPr>
              <w:t xml:space="preserve"> licensed up</w:t>
            </w:r>
            <w:r w:rsidR="005A319D" w:rsidRPr="00007705">
              <w:rPr>
                <w:rFonts w:ascii="Arial" w:hAnsi="Arial" w:cs="Arial"/>
                <w:color w:val="000000" w:themeColor="text1"/>
                <w:sz w:val="20"/>
                <w:szCs w:val="20"/>
              </w:rPr>
              <w:t xml:space="preserve"> </w:t>
            </w:r>
            <w:r w:rsidRPr="00007705">
              <w:rPr>
                <w:rFonts w:ascii="Arial" w:hAnsi="Arial" w:cs="Arial"/>
                <w:color w:val="000000" w:themeColor="text1"/>
                <w:sz w:val="20"/>
                <w:szCs w:val="20"/>
              </w:rPr>
              <w:t>to 54mg</w:t>
            </w:r>
          </w:p>
          <w:p w14:paraId="16EF1ADD" w14:textId="77777777" w:rsidR="00D226EF" w:rsidRPr="00007705" w:rsidRDefault="00D226EF" w:rsidP="00492079">
            <w:pPr>
              <w:spacing w:before="120" w:after="120"/>
              <w:rPr>
                <w:rFonts w:ascii="Arial" w:hAnsi="Arial" w:cs="Arial"/>
                <w:color w:val="000000" w:themeColor="text1"/>
                <w:sz w:val="20"/>
                <w:szCs w:val="20"/>
              </w:rPr>
            </w:pPr>
            <w:proofErr w:type="spellStart"/>
            <w:r w:rsidRPr="00007705">
              <w:rPr>
                <w:rFonts w:ascii="Arial" w:hAnsi="Arial" w:cs="Arial"/>
                <w:color w:val="000000" w:themeColor="text1"/>
                <w:sz w:val="20"/>
                <w:szCs w:val="20"/>
              </w:rPr>
              <w:t>Equasym</w:t>
            </w:r>
            <w:proofErr w:type="spellEnd"/>
            <w:r w:rsidRPr="00007705">
              <w:rPr>
                <w:rFonts w:ascii="Arial" w:hAnsi="Arial" w:cs="Arial"/>
                <w:color w:val="000000" w:themeColor="text1"/>
                <w:sz w:val="20"/>
                <w:szCs w:val="20"/>
              </w:rPr>
              <w:t xml:space="preserve"> XL</w:t>
            </w:r>
          </w:p>
          <w:p w14:paraId="6DE66075" w14:textId="2BA86CF7" w:rsidR="00D226EF" w:rsidRPr="00007705" w:rsidRDefault="00D226EF" w:rsidP="00492079">
            <w:pPr>
              <w:pStyle w:val="ListParagraph"/>
              <w:numPr>
                <w:ilvl w:val="0"/>
                <w:numId w:val="15"/>
              </w:numPr>
              <w:spacing w:before="120" w:after="120"/>
              <w:rPr>
                <w:rFonts w:ascii="Arial" w:hAnsi="Arial" w:cs="Arial"/>
                <w:color w:val="000000" w:themeColor="text1"/>
                <w:sz w:val="20"/>
                <w:szCs w:val="20"/>
              </w:rPr>
            </w:pPr>
            <w:r w:rsidRPr="00007705">
              <w:rPr>
                <w:rFonts w:ascii="Arial" w:hAnsi="Arial" w:cs="Arial"/>
                <w:color w:val="000000" w:themeColor="text1"/>
                <w:sz w:val="20"/>
                <w:szCs w:val="20"/>
              </w:rPr>
              <w:t xml:space="preserve">&lt; </w:t>
            </w:r>
            <w:r w:rsidR="00FA2F48">
              <w:rPr>
                <w:rFonts w:ascii="Arial" w:hAnsi="Arial" w:cs="Arial"/>
                <w:color w:val="000000" w:themeColor="text1"/>
                <w:sz w:val="20"/>
                <w:szCs w:val="20"/>
              </w:rPr>
              <w:t>5</w:t>
            </w:r>
            <w:r w:rsidRPr="00007705">
              <w:rPr>
                <w:rFonts w:ascii="Arial" w:hAnsi="Arial" w:cs="Arial"/>
                <w:color w:val="000000" w:themeColor="text1"/>
                <w:sz w:val="20"/>
                <w:szCs w:val="20"/>
              </w:rPr>
              <w:t xml:space="preserve">years unlicensed </w:t>
            </w:r>
          </w:p>
          <w:p w14:paraId="3A0F4FFB" w14:textId="7769009E" w:rsidR="00D226EF" w:rsidRPr="00007705" w:rsidRDefault="00D226EF" w:rsidP="00492079">
            <w:pPr>
              <w:pStyle w:val="ListParagraph"/>
              <w:numPr>
                <w:ilvl w:val="0"/>
                <w:numId w:val="15"/>
              </w:numPr>
              <w:spacing w:before="120" w:after="120"/>
              <w:rPr>
                <w:rFonts w:ascii="Arial" w:hAnsi="Arial" w:cs="Arial"/>
                <w:color w:val="000000" w:themeColor="text1"/>
                <w:sz w:val="20"/>
                <w:szCs w:val="20"/>
              </w:rPr>
            </w:pPr>
            <w:r w:rsidRPr="00007705">
              <w:rPr>
                <w:rFonts w:ascii="Arial" w:hAnsi="Arial" w:cs="Arial"/>
                <w:color w:val="000000" w:themeColor="text1"/>
                <w:sz w:val="20"/>
                <w:szCs w:val="20"/>
              </w:rPr>
              <w:t>&gt;</w:t>
            </w:r>
            <w:r w:rsidR="000E3E81">
              <w:rPr>
                <w:rFonts w:ascii="Arial" w:hAnsi="Arial" w:cs="Arial"/>
                <w:color w:val="000000" w:themeColor="text1"/>
                <w:sz w:val="20"/>
                <w:szCs w:val="20"/>
              </w:rPr>
              <w:t>5</w:t>
            </w:r>
            <w:r w:rsidRPr="00007705">
              <w:rPr>
                <w:rFonts w:ascii="Arial" w:hAnsi="Arial" w:cs="Arial"/>
                <w:color w:val="000000" w:themeColor="text1"/>
                <w:sz w:val="20"/>
                <w:szCs w:val="20"/>
              </w:rPr>
              <w:t xml:space="preserve"> years up to 60mg once daily </w:t>
            </w:r>
          </w:p>
          <w:p w14:paraId="787C242D" w14:textId="77777777" w:rsidR="00D226EF" w:rsidRPr="00007705" w:rsidRDefault="00D226EF" w:rsidP="00492079">
            <w:pPr>
              <w:spacing w:before="120" w:after="120"/>
              <w:rPr>
                <w:rFonts w:ascii="Arial" w:hAnsi="Arial" w:cs="Arial"/>
                <w:color w:val="000000" w:themeColor="text1"/>
                <w:sz w:val="20"/>
                <w:szCs w:val="20"/>
              </w:rPr>
            </w:pPr>
            <w:proofErr w:type="spellStart"/>
            <w:r w:rsidRPr="00007705">
              <w:rPr>
                <w:rFonts w:ascii="Arial" w:hAnsi="Arial" w:cs="Arial"/>
                <w:color w:val="000000" w:themeColor="text1"/>
                <w:sz w:val="20"/>
                <w:szCs w:val="20"/>
              </w:rPr>
              <w:t>Medikinet</w:t>
            </w:r>
            <w:proofErr w:type="spellEnd"/>
            <w:r w:rsidRPr="00007705">
              <w:rPr>
                <w:rFonts w:ascii="Arial" w:hAnsi="Arial" w:cs="Arial"/>
                <w:color w:val="000000" w:themeColor="text1"/>
                <w:sz w:val="20"/>
                <w:szCs w:val="20"/>
              </w:rPr>
              <w:t xml:space="preserve"> XL</w:t>
            </w:r>
          </w:p>
          <w:p w14:paraId="4D84C3F0" w14:textId="124992C8" w:rsidR="00D226EF" w:rsidRPr="00007705" w:rsidRDefault="00D226EF" w:rsidP="00492079">
            <w:pPr>
              <w:pStyle w:val="ListParagraph"/>
              <w:numPr>
                <w:ilvl w:val="0"/>
                <w:numId w:val="16"/>
              </w:numPr>
              <w:spacing w:before="120" w:after="120"/>
              <w:rPr>
                <w:rFonts w:ascii="Arial" w:hAnsi="Arial" w:cs="Arial"/>
                <w:color w:val="000000" w:themeColor="text1"/>
                <w:sz w:val="20"/>
                <w:szCs w:val="20"/>
              </w:rPr>
            </w:pPr>
            <w:r w:rsidRPr="00007705">
              <w:rPr>
                <w:rFonts w:ascii="Arial" w:hAnsi="Arial" w:cs="Arial"/>
                <w:color w:val="000000" w:themeColor="text1"/>
                <w:sz w:val="20"/>
                <w:szCs w:val="20"/>
              </w:rPr>
              <w:t xml:space="preserve">&lt; </w:t>
            </w:r>
            <w:r w:rsidR="00FA2F48">
              <w:rPr>
                <w:rFonts w:ascii="Arial" w:hAnsi="Arial" w:cs="Arial"/>
                <w:color w:val="000000" w:themeColor="text1"/>
                <w:sz w:val="20"/>
                <w:szCs w:val="20"/>
              </w:rPr>
              <w:t>5</w:t>
            </w:r>
            <w:r w:rsidRPr="00007705">
              <w:rPr>
                <w:rFonts w:ascii="Arial" w:hAnsi="Arial" w:cs="Arial"/>
                <w:color w:val="000000" w:themeColor="text1"/>
                <w:sz w:val="20"/>
                <w:szCs w:val="20"/>
              </w:rPr>
              <w:t xml:space="preserve">years unlicensed </w:t>
            </w:r>
          </w:p>
          <w:p w14:paraId="795DB61C" w14:textId="2B90ACFE" w:rsidR="00D226EF" w:rsidRPr="00007705" w:rsidRDefault="00D226EF" w:rsidP="00492079">
            <w:pPr>
              <w:pStyle w:val="ListParagraph"/>
              <w:numPr>
                <w:ilvl w:val="0"/>
                <w:numId w:val="16"/>
              </w:numPr>
              <w:spacing w:before="120" w:after="120"/>
              <w:rPr>
                <w:rFonts w:ascii="Arial" w:hAnsi="Arial" w:cs="Arial"/>
                <w:color w:val="000000" w:themeColor="text1"/>
                <w:sz w:val="20"/>
                <w:szCs w:val="20"/>
              </w:rPr>
            </w:pPr>
            <w:r w:rsidRPr="00007705">
              <w:rPr>
                <w:rFonts w:ascii="Arial" w:hAnsi="Arial" w:cs="Arial"/>
                <w:color w:val="000000" w:themeColor="text1"/>
                <w:sz w:val="20"/>
                <w:szCs w:val="20"/>
              </w:rPr>
              <w:t>&gt;</w:t>
            </w:r>
            <w:r w:rsidR="00FA2F48">
              <w:rPr>
                <w:rFonts w:ascii="Arial" w:hAnsi="Arial" w:cs="Arial"/>
                <w:color w:val="000000" w:themeColor="text1"/>
                <w:sz w:val="20"/>
                <w:szCs w:val="20"/>
              </w:rPr>
              <w:t>5</w:t>
            </w:r>
            <w:r w:rsidRPr="00007705">
              <w:rPr>
                <w:rFonts w:ascii="Arial" w:hAnsi="Arial" w:cs="Arial"/>
                <w:color w:val="000000" w:themeColor="text1"/>
                <w:sz w:val="20"/>
                <w:szCs w:val="20"/>
              </w:rPr>
              <w:t xml:space="preserve"> years up to 60mg once daily</w:t>
            </w:r>
          </w:p>
          <w:p w14:paraId="1B204DE7" w14:textId="77777777" w:rsidR="00D226EF" w:rsidRPr="00007705" w:rsidRDefault="00D226EF" w:rsidP="00492079">
            <w:pPr>
              <w:spacing w:before="120" w:after="120"/>
              <w:rPr>
                <w:rFonts w:ascii="Arial" w:hAnsi="Arial" w:cs="Arial"/>
                <w:color w:val="000000" w:themeColor="text1"/>
                <w:sz w:val="20"/>
                <w:szCs w:val="20"/>
              </w:rPr>
            </w:pPr>
            <w:proofErr w:type="spellStart"/>
            <w:r w:rsidRPr="00007705">
              <w:rPr>
                <w:rFonts w:ascii="Arial" w:hAnsi="Arial" w:cs="Arial"/>
                <w:color w:val="000000" w:themeColor="text1"/>
                <w:sz w:val="20"/>
                <w:szCs w:val="20"/>
              </w:rPr>
              <w:t>Delmosart</w:t>
            </w:r>
            <w:proofErr w:type="spellEnd"/>
            <w:r w:rsidRPr="00007705">
              <w:rPr>
                <w:rFonts w:ascii="Arial" w:hAnsi="Arial" w:cs="Arial"/>
                <w:color w:val="000000" w:themeColor="text1"/>
                <w:sz w:val="20"/>
                <w:szCs w:val="20"/>
              </w:rPr>
              <w:t xml:space="preserve"> prolonged release/</w:t>
            </w:r>
            <w:proofErr w:type="spellStart"/>
            <w:r w:rsidRPr="00007705">
              <w:rPr>
                <w:rFonts w:ascii="Arial" w:hAnsi="Arial" w:cs="Arial"/>
                <w:color w:val="000000" w:themeColor="text1"/>
                <w:sz w:val="20"/>
                <w:szCs w:val="20"/>
              </w:rPr>
              <w:t>Xaggitin</w:t>
            </w:r>
            <w:proofErr w:type="spellEnd"/>
          </w:p>
          <w:p w14:paraId="415968F7" w14:textId="3A32B225" w:rsidR="00D226EF" w:rsidRPr="00492079" w:rsidRDefault="00D226EF" w:rsidP="00E2566D">
            <w:pPr>
              <w:pStyle w:val="ListParagraph"/>
              <w:numPr>
                <w:ilvl w:val="0"/>
                <w:numId w:val="16"/>
              </w:numPr>
              <w:spacing w:before="120" w:after="120"/>
              <w:ind w:left="714" w:hanging="357"/>
              <w:contextualSpacing w:val="0"/>
              <w:rPr>
                <w:rFonts w:ascii="Arial" w:hAnsi="Arial" w:cs="Arial"/>
                <w:color w:val="000000" w:themeColor="text1"/>
              </w:rPr>
            </w:pPr>
            <w:r w:rsidRPr="00007705">
              <w:rPr>
                <w:rFonts w:ascii="Arial" w:hAnsi="Arial" w:cs="Arial"/>
                <w:color w:val="000000" w:themeColor="text1"/>
                <w:sz w:val="20"/>
                <w:szCs w:val="20"/>
              </w:rPr>
              <w:t>&gt;</w:t>
            </w:r>
            <w:r w:rsidR="00FA2F48">
              <w:rPr>
                <w:rFonts w:ascii="Arial" w:hAnsi="Arial" w:cs="Arial"/>
                <w:color w:val="000000" w:themeColor="text1"/>
                <w:sz w:val="20"/>
                <w:szCs w:val="20"/>
              </w:rPr>
              <w:t>5</w:t>
            </w:r>
            <w:r w:rsidR="00C01C47" w:rsidRPr="00007705">
              <w:rPr>
                <w:rFonts w:ascii="Arial" w:hAnsi="Arial" w:cs="Arial"/>
                <w:color w:val="000000" w:themeColor="text1"/>
                <w:sz w:val="20"/>
                <w:szCs w:val="20"/>
              </w:rPr>
              <w:t>yrs up</w:t>
            </w:r>
            <w:r w:rsidRPr="00007705">
              <w:rPr>
                <w:rFonts w:ascii="Arial" w:hAnsi="Arial" w:cs="Arial"/>
                <w:color w:val="000000" w:themeColor="text1"/>
                <w:sz w:val="20"/>
                <w:szCs w:val="20"/>
              </w:rPr>
              <w:t xml:space="preserve"> to 54mg</w:t>
            </w:r>
          </w:p>
        </w:tc>
        <w:tc>
          <w:tcPr>
            <w:tcW w:w="3403" w:type="dxa"/>
            <w:shd w:val="clear" w:color="auto" w:fill="D9D9D9" w:themeFill="background1" w:themeFillShade="D9"/>
          </w:tcPr>
          <w:p w14:paraId="1E1CA19A" w14:textId="77777777" w:rsidR="00D226EF" w:rsidRPr="00492079" w:rsidRDefault="00D226EF" w:rsidP="00E2566D">
            <w:pPr>
              <w:pStyle w:val="ListParagraph"/>
              <w:numPr>
                <w:ilvl w:val="0"/>
                <w:numId w:val="16"/>
              </w:numPr>
              <w:spacing w:before="120"/>
              <w:ind w:left="357" w:hanging="357"/>
              <w:contextualSpacing w:val="0"/>
              <w:rPr>
                <w:rFonts w:ascii="Arial" w:hAnsi="Arial" w:cs="Arial"/>
                <w:sz w:val="20"/>
                <w:szCs w:val="20"/>
              </w:rPr>
            </w:pPr>
            <w:r w:rsidRPr="00492079">
              <w:rPr>
                <w:rFonts w:ascii="Arial" w:hAnsi="Arial" w:cs="Arial"/>
                <w:sz w:val="20"/>
                <w:szCs w:val="20"/>
              </w:rPr>
              <w:t>Insomnia</w:t>
            </w:r>
          </w:p>
          <w:p w14:paraId="4B704A91" w14:textId="77777777" w:rsidR="00D226EF" w:rsidRPr="00492079" w:rsidRDefault="00D226EF" w:rsidP="00007705">
            <w:pPr>
              <w:pStyle w:val="ListParagraph"/>
              <w:numPr>
                <w:ilvl w:val="0"/>
                <w:numId w:val="16"/>
              </w:numPr>
              <w:spacing w:before="120" w:after="120"/>
              <w:ind w:left="360"/>
              <w:rPr>
                <w:rFonts w:ascii="Arial" w:hAnsi="Arial" w:cs="Arial"/>
                <w:sz w:val="20"/>
                <w:szCs w:val="20"/>
              </w:rPr>
            </w:pPr>
            <w:r w:rsidRPr="00492079">
              <w:rPr>
                <w:rFonts w:ascii="Arial" w:hAnsi="Arial" w:cs="Arial"/>
                <w:sz w:val="20"/>
                <w:szCs w:val="20"/>
              </w:rPr>
              <w:t>Lost appetite</w:t>
            </w:r>
          </w:p>
          <w:p w14:paraId="2DE96A4E" w14:textId="77777777" w:rsidR="00D226EF" w:rsidRPr="00492079" w:rsidRDefault="00D226EF" w:rsidP="00007705">
            <w:pPr>
              <w:pStyle w:val="ListParagraph"/>
              <w:numPr>
                <w:ilvl w:val="0"/>
                <w:numId w:val="16"/>
              </w:numPr>
              <w:spacing w:before="120" w:after="120"/>
              <w:ind w:left="360"/>
              <w:rPr>
                <w:rFonts w:ascii="Arial" w:hAnsi="Arial" w:cs="Arial"/>
                <w:sz w:val="20"/>
                <w:szCs w:val="20"/>
              </w:rPr>
            </w:pPr>
            <w:r w:rsidRPr="00492079">
              <w:rPr>
                <w:rFonts w:ascii="Arial" w:hAnsi="Arial" w:cs="Arial"/>
                <w:sz w:val="20"/>
                <w:szCs w:val="20"/>
              </w:rPr>
              <w:t>GI upset</w:t>
            </w:r>
          </w:p>
          <w:p w14:paraId="6E9FECB4" w14:textId="77777777" w:rsidR="00D226EF" w:rsidRPr="00492079" w:rsidRDefault="00D226EF" w:rsidP="00007705">
            <w:pPr>
              <w:pStyle w:val="ListParagraph"/>
              <w:numPr>
                <w:ilvl w:val="0"/>
                <w:numId w:val="16"/>
              </w:numPr>
              <w:spacing w:before="120" w:after="120"/>
              <w:ind w:left="360"/>
              <w:rPr>
                <w:rFonts w:ascii="Arial" w:hAnsi="Arial" w:cs="Arial"/>
                <w:sz w:val="20"/>
                <w:szCs w:val="20"/>
              </w:rPr>
            </w:pPr>
            <w:r w:rsidRPr="00492079">
              <w:rPr>
                <w:rFonts w:ascii="Arial" w:hAnsi="Arial" w:cs="Arial"/>
                <w:sz w:val="20"/>
                <w:szCs w:val="20"/>
              </w:rPr>
              <w:t>Headache</w:t>
            </w:r>
          </w:p>
          <w:p w14:paraId="0848A257" w14:textId="77777777" w:rsidR="00D226EF" w:rsidRPr="00492079" w:rsidRDefault="00D226EF" w:rsidP="00007705">
            <w:pPr>
              <w:pStyle w:val="ListParagraph"/>
              <w:numPr>
                <w:ilvl w:val="0"/>
                <w:numId w:val="16"/>
              </w:numPr>
              <w:spacing w:before="120" w:after="120"/>
              <w:ind w:left="360"/>
              <w:rPr>
                <w:rFonts w:ascii="Arial" w:hAnsi="Arial" w:cs="Arial"/>
                <w:sz w:val="20"/>
                <w:szCs w:val="20"/>
              </w:rPr>
            </w:pPr>
            <w:r w:rsidRPr="00492079">
              <w:rPr>
                <w:rFonts w:ascii="Arial" w:hAnsi="Arial" w:cs="Arial"/>
                <w:sz w:val="20"/>
                <w:szCs w:val="20"/>
              </w:rPr>
              <w:t>Hypertension</w:t>
            </w:r>
          </w:p>
          <w:p w14:paraId="65889B46" w14:textId="77777777" w:rsidR="00D226EF" w:rsidRPr="00492079" w:rsidRDefault="00D226EF" w:rsidP="00007705">
            <w:pPr>
              <w:pStyle w:val="ListParagraph"/>
              <w:numPr>
                <w:ilvl w:val="0"/>
                <w:numId w:val="16"/>
              </w:numPr>
              <w:spacing w:before="120" w:after="120"/>
              <w:ind w:left="360"/>
              <w:rPr>
                <w:rFonts w:ascii="Arial" w:hAnsi="Arial" w:cs="Arial"/>
                <w:sz w:val="20"/>
                <w:szCs w:val="20"/>
              </w:rPr>
            </w:pPr>
            <w:r w:rsidRPr="00492079">
              <w:rPr>
                <w:rFonts w:ascii="Arial" w:hAnsi="Arial" w:cs="Arial"/>
                <w:sz w:val="20"/>
                <w:szCs w:val="20"/>
              </w:rPr>
              <w:t>Reduced weight gain or weight loss</w:t>
            </w:r>
          </w:p>
          <w:p w14:paraId="44B9CB0F" w14:textId="77777777" w:rsidR="00D226EF" w:rsidRPr="00492079" w:rsidRDefault="00D226EF" w:rsidP="00007705">
            <w:pPr>
              <w:pStyle w:val="ListParagraph"/>
              <w:numPr>
                <w:ilvl w:val="0"/>
                <w:numId w:val="16"/>
              </w:numPr>
              <w:spacing w:before="120" w:after="120"/>
              <w:ind w:left="360"/>
              <w:rPr>
                <w:rFonts w:ascii="Arial" w:hAnsi="Arial" w:cs="Arial"/>
                <w:sz w:val="20"/>
                <w:szCs w:val="20"/>
              </w:rPr>
            </w:pPr>
            <w:r w:rsidRPr="00492079">
              <w:rPr>
                <w:rFonts w:ascii="Arial" w:hAnsi="Arial" w:cs="Arial"/>
                <w:sz w:val="20"/>
                <w:szCs w:val="20"/>
              </w:rPr>
              <w:t>Tics</w:t>
            </w:r>
          </w:p>
          <w:p w14:paraId="26AFD73E" w14:textId="77777777" w:rsidR="00D226EF" w:rsidRPr="00492079" w:rsidRDefault="00D226EF" w:rsidP="00007705">
            <w:pPr>
              <w:pStyle w:val="ListParagraph"/>
              <w:numPr>
                <w:ilvl w:val="0"/>
                <w:numId w:val="16"/>
              </w:numPr>
              <w:spacing w:before="120" w:after="120"/>
              <w:ind w:left="360"/>
              <w:rPr>
                <w:rFonts w:ascii="Arial" w:hAnsi="Arial" w:cs="Arial"/>
                <w:b/>
              </w:rPr>
            </w:pPr>
            <w:r w:rsidRPr="00492079">
              <w:rPr>
                <w:rFonts w:ascii="Arial" w:hAnsi="Arial" w:cs="Arial"/>
                <w:sz w:val="20"/>
                <w:szCs w:val="20"/>
              </w:rPr>
              <w:t xml:space="preserve">Rarely blood disorder including </w:t>
            </w:r>
            <w:proofErr w:type="spellStart"/>
            <w:r w:rsidRPr="00492079">
              <w:rPr>
                <w:rFonts w:ascii="Arial" w:hAnsi="Arial" w:cs="Arial"/>
                <w:sz w:val="20"/>
                <w:szCs w:val="20"/>
              </w:rPr>
              <w:t>leucopenia</w:t>
            </w:r>
            <w:proofErr w:type="spellEnd"/>
            <w:r w:rsidRPr="00492079">
              <w:rPr>
                <w:rFonts w:ascii="Arial" w:hAnsi="Arial" w:cs="Arial"/>
                <w:sz w:val="20"/>
                <w:szCs w:val="20"/>
              </w:rPr>
              <w:t xml:space="preserve"> and thrombocytopenia</w:t>
            </w:r>
          </w:p>
        </w:tc>
        <w:tc>
          <w:tcPr>
            <w:tcW w:w="3394" w:type="dxa"/>
            <w:shd w:val="clear" w:color="auto" w:fill="D9D9D9" w:themeFill="background1" w:themeFillShade="D9"/>
          </w:tcPr>
          <w:p w14:paraId="42E1225E" w14:textId="77777777" w:rsidR="00D226EF" w:rsidRPr="00492079" w:rsidRDefault="00D226EF" w:rsidP="00E2566D">
            <w:pPr>
              <w:pStyle w:val="ListParagraph"/>
              <w:numPr>
                <w:ilvl w:val="0"/>
                <w:numId w:val="17"/>
              </w:numPr>
              <w:spacing w:before="120"/>
              <w:ind w:left="357" w:hanging="357"/>
              <w:contextualSpacing w:val="0"/>
              <w:rPr>
                <w:rFonts w:ascii="Arial" w:hAnsi="Arial" w:cs="Arial"/>
                <w:sz w:val="20"/>
                <w:szCs w:val="20"/>
              </w:rPr>
            </w:pPr>
            <w:r w:rsidRPr="00492079">
              <w:rPr>
                <w:rFonts w:ascii="Arial" w:hAnsi="Arial" w:cs="Arial"/>
                <w:sz w:val="20"/>
                <w:szCs w:val="20"/>
              </w:rPr>
              <w:t>MAOI’s risk of hypertensive crisis</w:t>
            </w:r>
          </w:p>
          <w:p w14:paraId="51F03681" w14:textId="77777777" w:rsidR="00D226EF" w:rsidRPr="00492079" w:rsidRDefault="00D226EF" w:rsidP="00492079">
            <w:pPr>
              <w:pStyle w:val="ListParagraph"/>
              <w:numPr>
                <w:ilvl w:val="0"/>
                <w:numId w:val="17"/>
              </w:numPr>
              <w:spacing w:before="120" w:after="120"/>
              <w:rPr>
                <w:rFonts w:ascii="Arial" w:hAnsi="Arial" w:cs="Arial"/>
                <w:sz w:val="20"/>
                <w:szCs w:val="20"/>
              </w:rPr>
            </w:pPr>
            <w:r w:rsidRPr="00492079">
              <w:rPr>
                <w:rFonts w:ascii="Arial" w:hAnsi="Arial" w:cs="Arial"/>
                <w:sz w:val="20"/>
                <w:szCs w:val="20"/>
              </w:rPr>
              <w:t>Moclobemide risk of hypertensive crisis</w:t>
            </w:r>
          </w:p>
          <w:p w14:paraId="0767E236" w14:textId="77777777" w:rsidR="00D226EF" w:rsidRPr="00492079" w:rsidRDefault="00D226EF" w:rsidP="00492079">
            <w:pPr>
              <w:pStyle w:val="ListParagraph"/>
              <w:numPr>
                <w:ilvl w:val="0"/>
                <w:numId w:val="17"/>
              </w:numPr>
              <w:spacing w:before="120" w:after="120"/>
              <w:rPr>
                <w:rFonts w:ascii="Arial" w:hAnsi="Arial" w:cs="Arial"/>
                <w:b/>
              </w:rPr>
            </w:pPr>
            <w:r w:rsidRPr="00492079">
              <w:rPr>
                <w:rFonts w:ascii="Arial" w:hAnsi="Arial" w:cs="Arial"/>
                <w:sz w:val="20"/>
                <w:szCs w:val="20"/>
              </w:rPr>
              <w:t>Clonidine, serious adverse events reported (causality not established)</w:t>
            </w:r>
          </w:p>
        </w:tc>
      </w:tr>
      <w:tr w:rsidR="00FF4661" w:rsidRPr="00492079" w14:paraId="3A05EA89" w14:textId="77777777" w:rsidTr="00FF4661">
        <w:tc>
          <w:tcPr>
            <w:tcW w:w="3482" w:type="dxa"/>
            <w:shd w:val="clear" w:color="auto" w:fill="D9D9D9" w:themeFill="background1" w:themeFillShade="D9"/>
          </w:tcPr>
          <w:p w14:paraId="27B1E0D3" w14:textId="77777777" w:rsidR="00D226EF" w:rsidRPr="00492079" w:rsidRDefault="00D226EF" w:rsidP="00492079">
            <w:pPr>
              <w:pStyle w:val="ListParagraph"/>
              <w:spacing w:before="120" w:after="120"/>
              <w:ind w:left="0"/>
              <w:rPr>
                <w:rFonts w:ascii="Arial" w:hAnsi="Arial" w:cs="Arial"/>
                <w:b/>
                <w:color w:val="000000" w:themeColor="text1"/>
              </w:rPr>
            </w:pPr>
            <w:proofErr w:type="spellStart"/>
            <w:r w:rsidRPr="00492079">
              <w:rPr>
                <w:rFonts w:ascii="Arial" w:hAnsi="Arial" w:cs="Arial"/>
                <w:b/>
                <w:color w:val="000000" w:themeColor="text1"/>
              </w:rPr>
              <w:t>Dexamfetamine</w:t>
            </w:r>
            <w:proofErr w:type="spellEnd"/>
          </w:p>
          <w:p w14:paraId="6E0AC54F" w14:textId="60BA30E8" w:rsidR="00D226EF" w:rsidRPr="00492079" w:rsidRDefault="00FA2F48" w:rsidP="00492079">
            <w:pPr>
              <w:pStyle w:val="ListParagraph"/>
              <w:numPr>
                <w:ilvl w:val="0"/>
                <w:numId w:val="18"/>
              </w:numPr>
              <w:spacing w:before="120" w:after="120"/>
              <w:rPr>
                <w:rFonts w:ascii="Arial" w:hAnsi="Arial" w:cs="Arial"/>
                <w:b/>
                <w:color w:val="000000" w:themeColor="text1"/>
              </w:rPr>
            </w:pPr>
            <w:r>
              <w:rPr>
                <w:rFonts w:ascii="Arial" w:hAnsi="Arial" w:cs="Arial"/>
                <w:color w:val="000000" w:themeColor="text1"/>
                <w:sz w:val="20"/>
                <w:szCs w:val="20"/>
              </w:rPr>
              <w:t>5</w:t>
            </w:r>
            <w:r w:rsidR="00104D2A" w:rsidRPr="00492079">
              <w:rPr>
                <w:rFonts w:ascii="Arial" w:hAnsi="Arial" w:cs="Arial"/>
                <w:color w:val="000000" w:themeColor="text1"/>
                <w:sz w:val="20"/>
                <w:szCs w:val="20"/>
              </w:rPr>
              <w:t>-</w:t>
            </w:r>
            <w:r>
              <w:rPr>
                <w:rFonts w:ascii="Arial" w:hAnsi="Arial" w:cs="Arial"/>
                <w:color w:val="000000" w:themeColor="text1"/>
                <w:sz w:val="20"/>
                <w:szCs w:val="20"/>
              </w:rPr>
              <w:t>1</w:t>
            </w:r>
            <w:r w:rsidR="00104D2A" w:rsidRPr="00492079">
              <w:rPr>
                <w:rFonts w:ascii="Arial" w:hAnsi="Arial" w:cs="Arial"/>
                <w:color w:val="000000" w:themeColor="text1"/>
                <w:sz w:val="20"/>
                <w:szCs w:val="20"/>
              </w:rPr>
              <w:t>7 years</w:t>
            </w:r>
          </w:p>
          <w:p w14:paraId="461D2ED9" w14:textId="77777777" w:rsidR="00104D2A" w:rsidRPr="00AF64D2" w:rsidRDefault="00104D2A" w:rsidP="00492079">
            <w:pPr>
              <w:pStyle w:val="ListParagraph"/>
              <w:numPr>
                <w:ilvl w:val="0"/>
                <w:numId w:val="18"/>
              </w:numPr>
              <w:spacing w:before="120" w:after="120"/>
              <w:rPr>
                <w:rFonts w:ascii="Arial" w:hAnsi="Arial" w:cs="Arial"/>
                <w:b/>
                <w:color w:val="000000" w:themeColor="text1"/>
              </w:rPr>
            </w:pPr>
            <w:r w:rsidRPr="00492079">
              <w:rPr>
                <w:rFonts w:ascii="Arial" w:hAnsi="Arial" w:cs="Arial"/>
                <w:color w:val="000000" w:themeColor="text1"/>
                <w:sz w:val="20"/>
                <w:szCs w:val="20"/>
              </w:rPr>
              <w:t xml:space="preserve">Initially 2.5mg 2-3 times a day, increased by steps of 5mg once weekly if needed, usual </w:t>
            </w:r>
            <w:proofErr w:type="spellStart"/>
            <w:r w:rsidRPr="00492079">
              <w:rPr>
                <w:rFonts w:ascii="Arial" w:hAnsi="Arial" w:cs="Arial"/>
                <w:color w:val="000000" w:themeColor="text1"/>
                <w:sz w:val="20"/>
                <w:szCs w:val="20"/>
              </w:rPr>
              <w:t>maxiumum</w:t>
            </w:r>
            <w:proofErr w:type="spellEnd"/>
            <w:r w:rsidRPr="00492079">
              <w:rPr>
                <w:rFonts w:ascii="Arial" w:hAnsi="Arial" w:cs="Arial"/>
                <w:color w:val="000000" w:themeColor="text1"/>
                <w:sz w:val="20"/>
                <w:szCs w:val="20"/>
              </w:rPr>
              <w:t xml:space="preserve"> 1mg/kg, up to 20mg (up to 40mg in exceptional cases, maintenance dose given in 2-4 divided doses</w:t>
            </w:r>
          </w:p>
          <w:p w14:paraId="2E404C8E" w14:textId="5192A806" w:rsidR="004318A0" w:rsidRPr="00492079" w:rsidRDefault="004318A0" w:rsidP="00492079">
            <w:pPr>
              <w:pStyle w:val="ListParagraph"/>
              <w:numPr>
                <w:ilvl w:val="0"/>
                <w:numId w:val="18"/>
              </w:numPr>
              <w:spacing w:before="120" w:after="120"/>
              <w:rPr>
                <w:rFonts w:ascii="Arial" w:hAnsi="Arial" w:cs="Arial"/>
                <w:b/>
                <w:color w:val="000000" w:themeColor="text1"/>
              </w:rPr>
            </w:pPr>
            <w:r>
              <w:rPr>
                <w:rFonts w:ascii="Arial" w:hAnsi="Arial" w:cs="Arial"/>
                <w:b/>
                <w:color w:val="000000" w:themeColor="text1"/>
                <w:sz w:val="20"/>
                <w:szCs w:val="20"/>
              </w:rPr>
              <w:t>Unlicensed in adults</w:t>
            </w:r>
          </w:p>
        </w:tc>
        <w:tc>
          <w:tcPr>
            <w:tcW w:w="3403" w:type="dxa"/>
            <w:shd w:val="clear" w:color="auto" w:fill="D9D9D9" w:themeFill="background1" w:themeFillShade="D9"/>
          </w:tcPr>
          <w:p w14:paraId="73C5A9F1" w14:textId="77777777" w:rsidR="00D226EF" w:rsidRPr="00492079" w:rsidRDefault="00D226EF" w:rsidP="00E2566D">
            <w:pPr>
              <w:pStyle w:val="ListParagraph"/>
              <w:numPr>
                <w:ilvl w:val="0"/>
                <w:numId w:val="18"/>
              </w:numPr>
              <w:spacing w:before="120"/>
              <w:ind w:left="357" w:hanging="357"/>
              <w:contextualSpacing w:val="0"/>
              <w:rPr>
                <w:rFonts w:ascii="Arial" w:hAnsi="Arial" w:cs="Arial"/>
                <w:color w:val="000000" w:themeColor="text1"/>
                <w:sz w:val="20"/>
                <w:szCs w:val="20"/>
              </w:rPr>
            </w:pPr>
            <w:r w:rsidRPr="00492079">
              <w:rPr>
                <w:rFonts w:ascii="Arial" w:hAnsi="Arial" w:cs="Arial"/>
                <w:color w:val="000000" w:themeColor="text1"/>
                <w:sz w:val="20"/>
                <w:szCs w:val="20"/>
              </w:rPr>
              <w:t>Insomnia</w:t>
            </w:r>
          </w:p>
          <w:p w14:paraId="011571E6" w14:textId="77777777" w:rsidR="00D226EF" w:rsidRPr="00492079" w:rsidRDefault="00D226EF" w:rsidP="00007705">
            <w:pPr>
              <w:pStyle w:val="ListParagraph"/>
              <w:numPr>
                <w:ilvl w:val="0"/>
                <w:numId w:val="18"/>
              </w:numPr>
              <w:spacing w:before="120" w:after="120"/>
              <w:ind w:left="360"/>
              <w:rPr>
                <w:rFonts w:ascii="Arial" w:hAnsi="Arial" w:cs="Arial"/>
                <w:color w:val="000000" w:themeColor="text1"/>
                <w:sz w:val="20"/>
                <w:szCs w:val="20"/>
              </w:rPr>
            </w:pPr>
            <w:r w:rsidRPr="00492079">
              <w:rPr>
                <w:rFonts w:ascii="Arial" w:hAnsi="Arial" w:cs="Arial"/>
                <w:color w:val="000000" w:themeColor="text1"/>
                <w:sz w:val="20"/>
                <w:szCs w:val="20"/>
              </w:rPr>
              <w:t>Restlessness</w:t>
            </w:r>
          </w:p>
          <w:p w14:paraId="2EBF3509" w14:textId="77777777" w:rsidR="00D226EF" w:rsidRPr="00492079" w:rsidRDefault="00D226EF" w:rsidP="00007705">
            <w:pPr>
              <w:pStyle w:val="ListParagraph"/>
              <w:numPr>
                <w:ilvl w:val="0"/>
                <w:numId w:val="18"/>
              </w:numPr>
              <w:spacing w:before="120" w:after="120"/>
              <w:ind w:left="360"/>
              <w:rPr>
                <w:rFonts w:ascii="Arial" w:hAnsi="Arial" w:cs="Arial"/>
                <w:color w:val="000000" w:themeColor="text1"/>
                <w:sz w:val="20"/>
                <w:szCs w:val="20"/>
              </w:rPr>
            </w:pPr>
            <w:r w:rsidRPr="00492079">
              <w:rPr>
                <w:rFonts w:ascii="Arial" w:hAnsi="Arial" w:cs="Arial"/>
                <w:color w:val="000000" w:themeColor="text1"/>
                <w:sz w:val="20"/>
                <w:szCs w:val="20"/>
              </w:rPr>
              <w:t>Anorexia</w:t>
            </w:r>
          </w:p>
          <w:p w14:paraId="786261C0" w14:textId="77777777" w:rsidR="00D226EF" w:rsidRPr="00492079" w:rsidRDefault="00D226EF" w:rsidP="00007705">
            <w:pPr>
              <w:pStyle w:val="ListParagraph"/>
              <w:numPr>
                <w:ilvl w:val="0"/>
                <w:numId w:val="18"/>
              </w:numPr>
              <w:spacing w:before="120" w:after="120"/>
              <w:ind w:left="360"/>
              <w:rPr>
                <w:rFonts w:ascii="Arial" w:hAnsi="Arial" w:cs="Arial"/>
                <w:color w:val="000000" w:themeColor="text1"/>
                <w:sz w:val="20"/>
                <w:szCs w:val="20"/>
              </w:rPr>
            </w:pPr>
            <w:r w:rsidRPr="00492079">
              <w:rPr>
                <w:rFonts w:ascii="Arial" w:hAnsi="Arial" w:cs="Arial"/>
                <w:color w:val="000000" w:themeColor="text1"/>
                <w:sz w:val="20"/>
                <w:szCs w:val="20"/>
              </w:rPr>
              <w:t>GI symptoms</w:t>
            </w:r>
          </w:p>
          <w:p w14:paraId="714CF307" w14:textId="77777777" w:rsidR="00D226EF" w:rsidRPr="00492079" w:rsidRDefault="00D226EF" w:rsidP="00007705">
            <w:pPr>
              <w:pStyle w:val="ListParagraph"/>
              <w:numPr>
                <w:ilvl w:val="0"/>
                <w:numId w:val="18"/>
              </w:numPr>
              <w:spacing w:before="120" w:after="120"/>
              <w:ind w:left="360"/>
              <w:rPr>
                <w:rFonts w:ascii="Arial" w:hAnsi="Arial" w:cs="Arial"/>
                <w:color w:val="000000" w:themeColor="text1"/>
                <w:sz w:val="20"/>
                <w:szCs w:val="20"/>
              </w:rPr>
            </w:pPr>
            <w:r w:rsidRPr="00492079">
              <w:rPr>
                <w:rFonts w:ascii="Arial" w:hAnsi="Arial" w:cs="Arial"/>
                <w:color w:val="000000" w:themeColor="text1"/>
                <w:sz w:val="20"/>
                <w:szCs w:val="20"/>
              </w:rPr>
              <w:t>Tachycardia</w:t>
            </w:r>
          </w:p>
          <w:p w14:paraId="301447E8" w14:textId="77777777" w:rsidR="00D226EF" w:rsidRPr="00492079" w:rsidRDefault="00D226EF" w:rsidP="00007705">
            <w:pPr>
              <w:pStyle w:val="ListParagraph"/>
              <w:numPr>
                <w:ilvl w:val="0"/>
                <w:numId w:val="18"/>
              </w:numPr>
              <w:spacing w:before="120" w:after="120"/>
              <w:ind w:left="360"/>
              <w:rPr>
                <w:rFonts w:ascii="Arial" w:hAnsi="Arial" w:cs="Arial"/>
                <w:b/>
                <w:color w:val="000000" w:themeColor="text1"/>
              </w:rPr>
            </w:pPr>
            <w:r w:rsidRPr="00492079">
              <w:rPr>
                <w:rFonts w:ascii="Arial" w:hAnsi="Arial" w:cs="Arial"/>
                <w:color w:val="000000" w:themeColor="text1"/>
                <w:sz w:val="20"/>
                <w:szCs w:val="20"/>
              </w:rPr>
              <w:t>Palpitations</w:t>
            </w:r>
          </w:p>
        </w:tc>
        <w:tc>
          <w:tcPr>
            <w:tcW w:w="3394" w:type="dxa"/>
            <w:shd w:val="clear" w:color="auto" w:fill="D9D9D9" w:themeFill="background1" w:themeFillShade="D9"/>
          </w:tcPr>
          <w:p w14:paraId="15176C92" w14:textId="77777777" w:rsidR="00D226EF" w:rsidRPr="00492079" w:rsidRDefault="00D226EF" w:rsidP="00E2566D">
            <w:pPr>
              <w:pStyle w:val="ListParagraph"/>
              <w:numPr>
                <w:ilvl w:val="0"/>
                <w:numId w:val="17"/>
              </w:numPr>
              <w:spacing w:before="120"/>
              <w:ind w:left="357" w:hanging="357"/>
              <w:contextualSpacing w:val="0"/>
              <w:rPr>
                <w:rFonts w:ascii="Arial" w:hAnsi="Arial" w:cs="Arial"/>
                <w:sz w:val="20"/>
                <w:szCs w:val="20"/>
              </w:rPr>
            </w:pPr>
            <w:r w:rsidRPr="00492079">
              <w:rPr>
                <w:rFonts w:ascii="Arial" w:hAnsi="Arial" w:cs="Arial"/>
                <w:sz w:val="20"/>
                <w:szCs w:val="20"/>
              </w:rPr>
              <w:t>MAOI’s risk of hypertensive crisis</w:t>
            </w:r>
          </w:p>
          <w:p w14:paraId="3EACD5FC" w14:textId="77777777" w:rsidR="00D226EF" w:rsidRPr="00492079" w:rsidRDefault="00D226EF" w:rsidP="00492079">
            <w:pPr>
              <w:pStyle w:val="ListParagraph"/>
              <w:numPr>
                <w:ilvl w:val="0"/>
                <w:numId w:val="17"/>
              </w:numPr>
              <w:spacing w:before="120" w:after="120"/>
              <w:rPr>
                <w:rFonts w:ascii="Arial" w:hAnsi="Arial" w:cs="Arial"/>
                <w:sz w:val="20"/>
                <w:szCs w:val="20"/>
              </w:rPr>
            </w:pPr>
            <w:r w:rsidRPr="00492079">
              <w:rPr>
                <w:rFonts w:ascii="Arial" w:hAnsi="Arial" w:cs="Arial"/>
                <w:sz w:val="20"/>
                <w:szCs w:val="20"/>
              </w:rPr>
              <w:t>Moclobemide risk of hypertensive crisis</w:t>
            </w:r>
          </w:p>
          <w:p w14:paraId="079A0030" w14:textId="77777777" w:rsidR="00D226EF" w:rsidRPr="00492079" w:rsidRDefault="00D226EF" w:rsidP="00492079">
            <w:pPr>
              <w:pStyle w:val="ListParagraph"/>
              <w:spacing w:before="120" w:after="120"/>
              <w:ind w:left="360"/>
              <w:rPr>
                <w:rFonts w:ascii="Arial" w:hAnsi="Arial" w:cs="Arial"/>
                <w:b/>
              </w:rPr>
            </w:pPr>
          </w:p>
        </w:tc>
      </w:tr>
      <w:tr w:rsidR="00FF4661" w:rsidRPr="00492079" w14:paraId="258008FA" w14:textId="77777777" w:rsidTr="00007705">
        <w:trPr>
          <w:trHeight w:val="60"/>
        </w:trPr>
        <w:tc>
          <w:tcPr>
            <w:tcW w:w="3482" w:type="dxa"/>
            <w:shd w:val="clear" w:color="auto" w:fill="D9D9D9" w:themeFill="background1" w:themeFillShade="D9"/>
          </w:tcPr>
          <w:p w14:paraId="10034CFC" w14:textId="77777777" w:rsidR="00D226EF" w:rsidRPr="00492079" w:rsidRDefault="00D226EF" w:rsidP="00492079">
            <w:pPr>
              <w:pStyle w:val="ListParagraph"/>
              <w:spacing w:before="120" w:after="120"/>
              <w:ind w:left="0"/>
              <w:rPr>
                <w:rFonts w:ascii="Arial" w:hAnsi="Arial" w:cs="Arial"/>
                <w:b/>
              </w:rPr>
            </w:pPr>
            <w:proofErr w:type="spellStart"/>
            <w:r w:rsidRPr="00492079">
              <w:rPr>
                <w:rFonts w:ascii="Arial" w:hAnsi="Arial" w:cs="Arial"/>
                <w:b/>
              </w:rPr>
              <w:t>Lisdexamfetamine</w:t>
            </w:r>
            <w:proofErr w:type="spellEnd"/>
          </w:p>
          <w:p w14:paraId="69AD1066" w14:textId="61F32186" w:rsidR="00D226EF" w:rsidRPr="00492079" w:rsidRDefault="00D226EF" w:rsidP="00007705">
            <w:pPr>
              <w:pStyle w:val="ListParagraph"/>
              <w:numPr>
                <w:ilvl w:val="0"/>
                <w:numId w:val="25"/>
              </w:numPr>
              <w:spacing w:before="120" w:after="120"/>
              <w:ind w:left="723"/>
              <w:rPr>
                <w:rFonts w:ascii="Arial" w:hAnsi="Arial" w:cs="Arial"/>
                <w:b/>
              </w:rPr>
            </w:pPr>
            <w:r w:rsidRPr="00007705">
              <w:rPr>
                <w:rFonts w:ascii="Arial" w:hAnsi="Arial" w:cs="Arial"/>
                <w:sz w:val="20"/>
              </w:rPr>
              <w:t>&gt;</w:t>
            </w:r>
            <w:r w:rsidR="00FA2F48">
              <w:rPr>
                <w:rFonts w:ascii="Arial" w:hAnsi="Arial" w:cs="Arial"/>
                <w:sz w:val="20"/>
              </w:rPr>
              <w:t>5</w:t>
            </w:r>
            <w:r w:rsidRPr="00007705">
              <w:rPr>
                <w:rFonts w:ascii="Arial" w:hAnsi="Arial" w:cs="Arial"/>
                <w:sz w:val="20"/>
              </w:rPr>
              <w:t>yrs years up to 70mg</w:t>
            </w:r>
          </w:p>
        </w:tc>
        <w:tc>
          <w:tcPr>
            <w:tcW w:w="3403" w:type="dxa"/>
            <w:shd w:val="clear" w:color="auto" w:fill="D9D9D9" w:themeFill="background1" w:themeFillShade="D9"/>
          </w:tcPr>
          <w:p w14:paraId="2F5B0361" w14:textId="77777777" w:rsidR="00D226EF" w:rsidRPr="00492079" w:rsidRDefault="00D226EF" w:rsidP="00E2566D">
            <w:pPr>
              <w:pStyle w:val="ListParagraph"/>
              <w:numPr>
                <w:ilvl w:val="0"/>
                <w:numId w:val="18"/>
              </w:numPr>
              <w:spacing w:before="120"/>
              <w:ind w:left="357" w:hanging="357"/>
              <w:contextualSpacing w:val="0"/>
              <w:rPr>
                <w:rFonts w:ascii="Arial" w:hAnsi="Arial" w:cs="Arial"/>
                <w:sz w:val="20"/>
                <w:szCs w:val="20"/>
              </w:rPr>
            </w:pPr>
            <w:r w:rsidRPr="00492079">
              <w:rPr>
                <w:rFonts w:ascii="Arial" w:hAnsi="Arial" w:cs="Arial"/>
                <w:sz w:val="20"/>
                <w:szCs w:val="20"/>
              </w:rPr>
              <w:t>Insomnia</w:t>
            </w:r>
          </w:p>
          <w:p w14:paraId="519D7069" w14:textId="77777777" w:rsidR="00D226EF" w:rsidRPr="00492079" w:rsidRDefault="00D226EF" w:rsidP="00007705">
            <w:pPr>
              <w:pStyle w:val="ListParagraph"/>
              <w:numPr>
                <w:ilvl w:val="0"/>
                <w:numId w:val="18"/>
              </w:numPr>
              <w:spacing w:before="120" w:after="120"/>
              <w:ind w:left="360"/>
              <w:rPr>
                <w:rFonts w:ascii="Arial" w:hAnsi="Arial" w:cs="Arial"/>
                <w:sz w:val="20"/>
                <w:szCs w:val="20"/>
              </w:rPr>
            </w:pPr>
            <w:r w:rsidRPr="00492079">
              <w:rPr>
                <w:rFonts w:ascii="Arial" w:hAnsi="Arial" w:cs="Arial"/>
                <w:sz w:val="20"/>
                <w:szCs w:val="20"/>
              </w:rPr>
              <w:t>Restlessness</w:t>
            </w:r>
          </w:p>
          <w:p w14:paraId="1FEE539F" w14:textId="77777777" w:rsidR="00D226EF" w:rsidRPr="00492079" w:rsidRDefault="00D226EF" w:rsidP="00007705">
            <w:pPr>
              <w:pStyle w:val="ListParagraph"/>
              <w:numPr>
                <w:ilvl w:val="0"/>
                <w:numId w:val="18"/>
              </w:numPr>
              <w:spacing w:before="120" w:after="120"/>
              <w:ind w:left="360"/>
              <w:rPr>
                <w:rFonts w:ascii="Arial" w:hAnsi="Arial" w:cs="Arial"/>
                <w:sz w:val="20"/>
                <w:szCs w:val="20"/>
              </w:rPr>
            </w:pPr>
            <w:r w:rsidRPr="00492079">
              <w:rPr>
                <w:rFonts w:ascii="Arial" w:hAnsi="Arial" w:cs="Arial"/>
                <w:sz w:val="20"/>
                <w:szCs w:val="20"/>
              </w:rPr>
              <w:t>Anorexia</w:t>
            </w:r>
          </w:p>
          <w:p w14:paraId="150ACEAF" w14:textId="77777777" w:rsidR="00D226EF" w:rsidRPr="00492079" w:rsidRDefault="00D226EF" w:rsidP="00007705">
            <w:pPr>
              <w:pStyle w:val="ListParagraph"/>
              <w:numPr>
                <w:ilvl w:val="0"/>
                <w:numId w:val="18"/>
              </w:numPr>
              <w:spacing w:before="120" w:after="120"/>
              <w:ind w:left="360"/>
              <w:rPr>
                <w:rFonts w:ascii="Arial" w:hAnsi="Arial" w:cs="Arial"/>
                <w:sz w:val="20"/>
                <w:szCs w:val="20"/>
              </w:rPr>
            </w:pPr>
            <w:r w:rsidRPr="00492079">
              <w:rPr>
                <w:rFonts w:ascii="Arial" w:hAnsi="Arial" w:cs="Arial"/>
                <w:sz w:val="20"/>
                <w:szCs w:val="20"/>
              </w:rPr>
              <w:t>GI symptoms</w:t>
            </w:r>
          </w:p>
          <w:p w14:paraId="5AA7D3D5" w14:textId="77777777" w:rsidR="00D226EF" w:rsidRPr="00492079" w:rsidRDefault="00D226EF" w:rsidP="00007705">
            <w:pPr>
              <w:pStyle w:val="ListParagraph"/>
              <w:numPr>
                <w:ilvl w:val="0"/>
                <w:numId w:val="18"/>
              </w:numPr>
              <w:spacing w:before="120" w:after="120"/>
              <w:ind w:left="360"/>
              <w:rPr>
                <w:rFonts w:ascii="Arial" w:hAnsi="Arial" w:cs="Arial"/>
                <w:sz w:val="20"/>
                <w:szCs w:val="20"/>
              </w:rPr>
            </w:pPr>
            <w:r w:rsidRPr="00492079">
              <w:rPr>
                <w:rFonts w:ascii="Arial" w:hAnsi="Arial" w:cs="Arial"/>
                <w:sz w:val="20"/>
                <w:szCs w:val="20"/>
              </w:rPr>
              <w:t>Tachycardia</w:t>
            </w:r>
          </w:p>
          <w:p w14:paraId="73767E6C" w14:textId="77777777" w:rsidR="00D226EF" w:rsidRPr="00492079" w:rsidRDefault="00D226EF" w:rsidP="00007705">
            <w:pPr>
              <w:pStyle w:val="ListParagraph"/>
              <w:numPr>
                <w:ilvl w:val="0"/>
                <w:numId w:val="18"/>
              </w:numPr>
              <w:spacing w:before="120" w:after="120"/>
              <w:ind w:left="360"/>
              <w:rPr>
                <w:rFonts w:ascii="Arial" w:hAnsi="Arial" w:cs="Arial"/>
                <w:sz w:val="20"/>
                <w:szCs w:val="20"/>
              </w:rPr>
            </w:pPr>
            <w:r w:rsidRPr="00492079">
              <w:rPr>
                <w:rFonts w:ascii="Arial" w:hAnsi="Arial" w:cs="Arial"/>
                <w:sz w:val="20"/>
                <w:szCs w:val="20"/>
              </w:rPr>
              <w:t>Palpitations</w:t>
            </w:r>
          </w:p>
        </w:tc>
        <w:tc>
          <w:tcPr>
            <w:tcW w:w="3394" w:type="dxa"/>
            <w:shd w:val="clear" w:color="auto" w:fill="D9D9D9" w:themeFill="background1" w:themeFillShade="D9"/>
          </w:tcPr>
          <w:p w14:paraId="23DCF297" w14:textId="77777777" w:rsidR="00D226EF" w:rsidRPr="00492079" w:rsidRDefault="00D226EF" w:rsidP="00E2566D">
            <w:pPr>
              <w:pStyle w:val="ListParagraph"/>
              <w:numPr>
                <w:ilvl w:val="0"/>
                <w:numId w:val="17"/>
              </w:numPr>
              <w:spacing w:before="120"/>
              <w:ind w:left="357" w:hanging="357"/>
              <w:contextualSpacing w:val="0"/>
              <w:rPr>
                <w:rFonts w:ascii="Arial" w:hAnsi="Arial" w:cs="Arial"/>
                <w:sz w:val="20"/>
                <w:szCs w:val="20"/>
              </w:rPr>
            </w:pPr>
            <w:r w:rsidRPr="00492079">
              <w:rPr>
                <w:rFonts w:ascii="Arial" w:hAnsi="Arial" w:cs="Arial"/>
                <w:sz w:val="20"/>
                <w:szCs w:val="20"/>
              </w:rPr>
              <w:t>MAOI’s risk of hypertensive crisis</w:t>
            </w:r>
          </w:p>
          <w:p w14:paraId="6E536059" w14:textId="77777777" w:rsidR="00D226EF" w:rsidRPr="00492079" w:rsidRDefault="00D226EF" w:rsidP="00492079">
            <w:pPr>
              <w:pStyle w:val="ListParagraph"/>
              <w:numPr>
                <w:ilvl w:val="0"/>
                <w:numId w:val="17"/>
              </w:numPr>
              <w:spacing w:before="120" w:after="120"/>
              <w:rPr>
                <w:rFonts w:ascii="Arial" w:hAnsi="Arial" w:cs="Arial"/>
                <w:sz w:val="20"/>
                <w:szCs w:val="20"/>
              </w:rPr>
            </w:pPr>
            <w:r w:rsidRPr="00492079">
              <w:rPr>
                <w:rFonts w:ascii="Arial" w:hAnsi="Arial" w:cs="Arial"/>
                <w:sz w:val="20"/>
                <w:szCs w:val="20"/>
              </w:rPr>
              <w:t>Moclobemide risk of hypertensive crisis</w:t>
            </w:r>
          </w:p>
          <w:p w14:paraId="0FA419D7" w14:textId="77777777" w:rsidR="00D226EF" w:rsidRPr="00492079" w:rsidRDefault="00D226EF" w:rsidP="00492079">
            <w:pPr>
              <w:pStyle w:val="ListParagraph"/>
              <w:spacing w:before="120" w:after="120"/>
              <w:ind w:left="360"/>
              <w:rPr>
                <w:rFonts w:ascii="Arial" w:hAnsi="Arial" w:cs="Arial"/>
                <w:sz w:val="20"/>
                <w:szCs w:val="20"/>
              </w:rPr>
            </w:pPr>
          </w:p>
        </w:tc>
      </w:tr>
    </w:tbl>
    <w:p w14:paraId="3BE51751" w14:textId="77777777" w:rsidR="00EF0CAE" w:rsidRDefault="00EF0CAE" w:rsidP="00492079">
      <w:pPr>
        <w:pStyle w:val="ListParagraph"/>
        <w:spacing w:before="120" w:after="120" w:line="240" w:lineRule="auto"/>
        <w:ind w:left="0"/>
        <w:rPr>
          <w:rFonts w:ascii="Arial" w:hAnsi="Arial" w:cs="Arial"/>
          <w:b/>
          <w:color w:val="0070C0"/>
        </w:rPr>
      </w:pPr>
    </w:p>
    <w:p w14:paraId="5EBC569D" w14:textId="77777777" w:rsidR="00FF4661" w:rsidRDefault="00FF4661" w:rsidP="00492079">
      <w:pPr>
        <w:pStyle w:val="ListParagraph"/>
        <w:spacing w:before="120" w:after="120" w:line="240" w:lineRule="auto"/>
        <w:ind w:left="0"/>
        <w:rPr>
          <w:rFonts w:ascii="Arial" w:hAnsi="Arial" w:cs="Arial"/>
          <w:b/>
          <w:color w:val="0070C0"/>
        </w:rPr>
      </w:pPr>
    </w:p>
    <w:p w14:paraId="5D0FFD73" w14:textId="77777777" w:rsidR="00F8262F" w:rsidRDefault="00EF0CAE" w:rsidP="00FF4661">
      <w:pPr>
        <w:pStyle w:val="ListParagraph"/>
        <w:spacing w:before="240" w:after="240" w:line="240" w:lineRule="auto"/>
        <w:ind w:left="0"/>
        <w:rPr>
          <w:rFonts w:ascii="Arial" w:hAnsi="Arial" w:cs="Arial"/>
          <w:b/>
          <w:color w:val="0070C0"/>
        </w:rPr>
      </w:pPr>
      <w:r w:rsidRPr="00492079">
        <w:rPr>
          <w:rFonts w:ascii="Arial" w:hAnsi="Arial" w:cs="Arial"/>
          <w:b/>
          <w:color w:val="0070C0"/>
        </w:rPr>
        <w:lastRenderedPageBreak/>
        <w:t>Table 2: NON-STIMULANT DRUG TREATMENT FOR ADHD</w:t>
      </w:r>
    </w:p>
    <w:tbl>
      <w:tblPr>
        <w:tblStyle w:val="TableGrid"/>
        <w:tblpPr w:leftFromText="180" w:rightFromText="180" w:vertAnchor="tex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Look w:val="04A0" w:firstRow="1" w:lastRow="0" w:firstColumn="1" w:lastColumn="0" w:noHBand="0" w:noVBand="1"/>
      </w:tblPr>
      <w:tblGrid>
        <w:gridCol w:w="4219"/>
        <w:gridCol w:w="3119"/>
        <w:gridCol w:w="2941"/>
      </w:tblGrid>
      <w:tr w:rsidR="00FF4661" w:rsidRPr="00FF4661" w14:paraId="342D1494" w14:textId="77777777" w:rsidTr="004C4D82">
        <w:trPr>
          <w:cantSplit/>
          <w:tblHeader/>
        </w:trPr>
        <w:tc>
          <w:tcPr>
            <w:tcW w:w="4219" w:type="dxa"/>
            <w:shd w:val="clear" w:color="auto" w:fill="7F7F7F" w:themeFill="text1" w:themeFillTint="80"/>
          </w:tcPr>
          <w:p w14:paraId="497B1C23" w14:textId="77777777" w:rsidR="00FF4661" w:rsidRPr="00FF4661" w:rsidRDefault="00FF4661" w:rsidP="004C4D82">
            <w:pPr>
              <w:spacing w:before="120" w:after="120"/>
              <w:rPr>
                <w:rFonts w:ascii="Arial" w:eastAsia="Times New Roman" w:hAnsi="Arial" w:cs="Arial"/>
                <w:b/>
                <w:color w:val="FFFFFF" w:themeColor="background1"/>
                <w:sz w:val="20"/>
                <w:szCs w:val="20"/>
              </w:rPr>
            </w:pPr>
            <w:r w:rsidRPr="00FF4661">
              <w:rPr>
                <w:rFonts w:ascii="Arial" w:eastAsia="Times New Roman" w:hAnsi="Arial" w:cs="Arial"/>
                <w:b/>
                <w:color w:val="FFFFFF" w:themeColor="background1"/>
                <w:sz w:val="20"/>
                <w:szCs w:val="20"/>
              </w:rPr>
              <w:t xml:space="preserve">Drug, dose </w:t>
            </w:r>
          </w:p>
        </w:tc>
        <w:tc>
          <w:tcPr>
            <w:tcW w:w="3119" w:type="dxa"/>
            <w:shd w:val="clear" w:color="auto" w:fill="7F7F7F" w:themeFill="text1" w:themeFillTint="80"/>
          </w:tcPr>
          <w:p w14:paraId="12F3521E" w14:textId="77777777" w:rsidR="00FF4661" w:rsidRPr="00FF4661" w:rsidRDefault="00FF4661" w:rsidP="004C4D82">
            <w:pPr>
              <w:spacing w:before="120" w:after="120"/>
              <w:rPr>
                <w:rFonts w:ascii="Arial" w:eastAsia="Times New Roman" w:hAnsi="Arial" w:cs="Arial"/>
                <w:b/>
                <w:color w:val="FFFFFF" w:themeColor="background1"/>
                <w:sz w:val="20"/>
                <w:szCs w:val="20"/>
              </w:rPr>
            </w:pPr>
            <w:r w:rsidRPr="00FF4661">
              <w:rPr>
                <w:rFonts w:ascii="Arial" w:eastAsia="Times New Roman" w:hAnsi="Arial" w:cs="Arial"/>
                <w:b/>
                <w:color w:val="FFFFFF" w:themeColor="background1"/>
                <w:sz w:val="20"/>
                <w:szCs w:val="20"/>
              </w:rPr>
              <w:t>Adverse effects</w:t>
            </w:r>
          </w:p>
        </w:tc>
        <w:tc>
          <w:tcPr>
            <w:tcW w:w="2941" w:type="dxa"/>
            <w:shd w:val="clear" w:color="auto" w:fill="7F7F7F" w:themeFill="text1" w:themeFillTint="80"/>
          </w:tcPr>
          <w:p w14:paraId="1BA215DA" w14:textId="77777777" w:rsidR="00FF4661" w:rsidRPr="00FF4661" w:rsidRDefault="00FF4661" w:rsidP="004C4D82">
            <w:pPr>
              <w:pStyle w:val="ListParagraph"/>
              <w:spacing w:before="120" w:after="120"/>
              <w:ind w:left="0"/>
              <w:rPr>
                <w:rFonts w:ascii="Arial" w:hAnsi="Arial" w:cs="Arial"/>
                <w:b/>
                <w:color w:val="FFFFFF" w:themeColor="background1"/>
                <w:sz w:val="20"/>
                <w:szCs w:val="20"/>
              </w:rPr>
            </w:pPr>
            <w:proofErr w:type="gramStart"/>
            <w:r w:rsidRPr="00FF4661">
              <w:rPr>
                <w:rFonts w:ascii="Arial" w:eastAsia="Times New Roman" w:hAnsi="Arial" w:cs="Arial"/>
                <w:b/>
                <w:color w:val="FFFFFF" w:themeColor="background1"/>
                <w:sz w:val="20"/>
                <w:szCs w:val="20"/>
              </w:rPr>
              <w:t>Clinical</w:t>
            </w:r>
            <w:proofErr w:type="gramEnd"/>
            <w:r w:rsidRPr="00FF4661">
              <w:rPr>
                <w:rFonts w:ascii="Arial" w:eastAsia="Times New Roman" w:hAnsi="Arial" w:cs="Arial"/>
                <w:b/>
                <w:color w:val="FFFFFF" w:themeColor="background1"/>
                <w:sz w:val="20"/>
                <w:szCs w:val="20"/>
              </w:rPr>
              <w:t xml:space="preserve"> relevant drug interactions</w:t>
            </w:r>
          </w:p>
        </w:tc>
      </w:tr>
      <w:tr w:rsidR="00FF4661" w:rsidRPr="00FF4661" w14:paraId="7C937F3B" w14:textId="77777777" w:rsidTr="004C4D82">
        <w:trPr>
          <w:cantSplit/>
          <w:trHeight w:val="3909"/>
        </w:trPr>
        <w:tc>
          <w:tcPr>
            <w:tcW w:w="4219" w:type="dxa"/>
            <w:shd w:val="clear" w:color="auto" w:fill="D9D9D9" w:themeFill="background1" w:themeFillShade="D9"/>
          </w:tcPr>
          <w:p w14:paraId="407B3713" w14:textId="77777777" w:rsidR="00FF4661" w:rsidRPr="00FF4661" w:rsidRDefault="00FF4661" w:rsidP="004C4D82">
            <w:pPr>
              <w:pStyle w:val="ListParagraph"/>
              <w:spacing w:before="120" w:after="120"/>
              <w:ind w:left="0"/>
              <w:rPr>
                <w:rFonts w:ascii="Arial" w:hAnsi="Arial" w:cs="Arial"/>
                <w:b/>
                <w:sz w:val="20"/>
                <w:szCs w:val="20"/>
              </w:rPr>
            </w:pPr>
            <w:r w:rsidRPr="00FF4661">
              <w:rPr>
                <w:rFonts w:ascii="Arial" w:hAnsi="Arial" w:cs="Arial"/>
                <w:b/>
                <w:sz w:val="20"/>
                <w:szCs w:val="20"/>
              </w:rPr>
              <w:t>Atomoxetine</w:t>
            </w:r>
          </w:p>
          <w:p w14:paraId="51FCAE6A" w14:textId="475A0B70" w:rsidR="00FF4661" w:rsidRPr="00007705" w:rsidRDefault="00FF4661" w:rsidP="004C4D82">
            <w:pPr>
              <w:pStyle w:val="ListParagraph"/>
              <w:numPr>
                <w:ilvl w:val="0"/>
                <w:numId w:val="19"/>
              </w:numPr>
              <w:spacing w:before="120" w:after="120"/>
              <w:rPr>
                <w:rFonts w:ascii="Arial" w:hAnsi="Arial" w:cs="Arial"/>
                <w:sz w:val="20"/>
                <w:szCs w:val="20"/>
              </w:rPr>
            </w:pPr>
            <w:r w:rsidRPr="00007705">
              <w:rPr>
                <w:rFonts w:ascii="Arial" w:hAnsi="Arial" w:cs="Arial"/>
                <w:sz w:val="20"/>
                <w:szCs w:val="20"/>
              </w:rPr>
              <w:t>&lt;</w:t>
            </w:r>
            <w:r w:rsidR="00FA2F48">
              <w:rPr>
                <w:rFonts w:ascii="Arial" w:hAnsi="Arial" w:cs="Arial"/>
                <w:sz w:val="20"/>
                <w:szCs w:val="20"/>
              </w:rPr>
              <w:t>5</w:t>
            </w:r>
            <w:r w:rsidRPr="00007705">
              <w:rPr>
                <w:rFonts w:ascii="Arial" w:hAnsi="Arial" w:cs="Arial"/>
                <w:sz w:val="20"/>
                <w:szCs w:val="20"/>
              </w:rPr>
              <w:t xml:space="preserve"> years unlicensed  </w:t>
            </w:r>
          </w:p>
          <w:p w14:paraId="65BC0288" w14:textId="6475A7E5" w:rsidR="00FF4661" w:rsidRPr="00007705" w:rsidRDefault="00FF4661" w:rsidP="004C4D82">
            <w:pPr>
              <w:pStyle w:val="ListParagraph"/>
              <w:numPr>
                <w:ilvl w:val="0"/>
                <w:numId w:val="19"/>
              </w:numPr>
              <w:spacing w:before="120" w:after="120"/>
              <w:rPr>
                <w:rFonts w:ascii="Arial" w:hAnsi="Arial" w:cs="Arial"/>
                <w:sz w:val="20"/>
                <w:szCs w:val="20"/>
              </w:rPr>
            </w:pPr>
            <w:r w:rsidRPr="00007705">
              <w:rPr>
                <w:rFonts w:ascii="Arial" w:hAnsi="Arial" w:cs="Arial"/>
                <w:sz w:val="20"/>
                <w:szCs w:val="20"/>
              </w:rPr>
              <w:t xml:space="preserve">Over </w:t>
            </w:r>
            <w:r w:rsidR="00FA2F48">
              <w:rPr>
                <w:rFonts w:ascii="Arial" w:hAnsi="Arial" w:cs="Arial"/>
                <w:sz w:val="20"/>
                <w:szCs w:val="20"/>
              </w:rPr>
              <w:t>5</w:t>
            </w:r>
            <w:r w:rsidRPr="00007705">
              <w:rPr>
                <w:rFonts w:ascii="Arial" w:hAnsi="Arial" w:cs="Arial"/>
                <w:sz w:val="20"/>
                <w:szCs w:val="20"/>
              </w:rPr>
              <w:t xml:space="preserve"> </w:t>
            </w:r>
            <w:proofErr w:type="spellStart"/>
            <w:r w:rsidRPr="00007705">
              <w:rPr>
                <w:rFonts w:ascii="Arial" w:hAnsi="Arial" w:cs="Arial"/>
                <w:sz w:val="20"/>
                <w:szCs w:val="20"/>
              </w:rPr>
              <w:t>yrs</w:t>
            </w:r>
            <w:proofErr w:type="spellEnd"/>
            <w:r w:rsidRPr="00007705">
              <w:rPr>
                <w:rFonts w:ascii="Arial" w:hAnsi="Arial" w:cs="Arial"/>
                <w:sz w:val="20"/>
                <w:szCs w:val="20"/>
              </w:rPr>
              <w:t xml:space="preserve"> - </w:t>
            </w:r>
          </w:p>
          <w:p w14:paraId="78B9F611" w14:textId="77777777" w:rsidR="00FF4661" w:rsidRDefault="00FF4661" w:rsidP="004C4D82">
            <w:pPr>
              <w:pStyle w:val="ListParagraph"/>
              <w:numPr>
                <w:ilvl w:val="0"/>
                <w:numId w:val="34"/>
              </w:numPr>
              <w:spacing w:before="120" w:after="120"/>
              <w:rPr>
                <w:rFonts w:ascii="Arial" w:hAnsi="Arial" w:cs="Arial"/>
                <w:sz w:val="20"/>
                <w:szCs w:val="20"/>
              </w:rPr>
            </w:pPr>
            <w:r w:rsidRPr="00007705">
              <w:rPr>
                <w:rFonts w:ascii="Arial" w:hAnsi="Arial" w:cs="Arial"/>
                <w:sz w:val="20"/>
                <w:szCs w:val="20"/>
              </w:rPr>
              <w:t>&gt;70 kg, 40 mg daily for 7 days increase according to response.  Usual maintenance dose 80 mg daily; max. 100 mg daily</w:t>
            </w:r>
          </w:p>
          <w:p w14:paraId="1121E224" w14:textId="77777777" w:rsidR="00007705" w:rsidRPr="00007705" w:rsidRDefault="00007705" w:rsidP="004C4D82">
            <w:pPr>
              <w:pStyle w:val="ListParagraph"/>
              <w:numPr>
                <w:ilvl w:val="0"/>
                <w:numId w:val="34"/>
              </w:numPr>
              <w:spacing w:before="120" w:after="120"/>
              <w:rPr>
                <w:rFonts w:ascii="Arial" w:hAnsi="Arial" w:cs="Arial"/>
                <w:sz w:val="20"/>
                <w:szCs w:val="20"/>
              </w:rPr>
            </w:pPr>
            <w:r>
              <w:rPr>
                <w:rFonts w:ascii="Arial" w:hAnsi="Arial" w:cs="Arial"/>
                <w:sz w:val="20"/>
                <w:szCs w:val="20"/>
              </w:rPr>
              <w:t xml:space="preserve">High daily doses to be given under direction of a specialist; maximum 120mg per day. </w:t>
            </w:r>
            <w:proofErr w:type="spellStart"/>
            <w:r>
              <w:rPr>
                <w:rFonts w:ascii="Arial" w:hAnsi="Arial" w:cs="Arial"/>
                <w:sz w:val="20"/>
                <w:szCs w:val="20"/>
              </w:rPr>
              <w:t>cbnf</w:t>
            </w:r>
            <w:proofErr w:type="spellEnd"/>
          </w:p>
          <w:p w14:paraId="5BED2B36" w14:textId="40D85046" w:rsidR="00007705" w:rsidRDefault="00FF4661" w:rsidP="004C4D82">
            <w:pPr>
              <w:pStyle w:val="ListParagraph"/>
              <w:numPr>
                <w:ilvl w:val="0"/>
                <w:numId w:val="34"/>
              </w:numPr>
              <w:spacing w:before="120" w:after="120"/>
              <w:rPr>
                <w:rFonts w:ascii="Arial" w:hAnsi="Arial" w:cs="Arial"/>
                <w:sz w:val="20"/>
                <w:szCs w:val="20"/>
              </w:rPr>
            </w:pPr>
            <w:r w:rsidRPr="00007705">
              <w:rPr>
                <w:rFonts w:ascii="Arial" w:hAnsi="Arial" w:cs="Arial"/>
                <w:sz w:val="20"/>
                <w:szCs w:val="20"/>
              </w:rPr>
              <w:t xml:space="preserve">&lt;70 kg, 500 micrograms/kg daily for 7 days then increased according to response to usual maintenance dose 1.2 mg/kg </w:t>
            </w:r>
            <w:r w:rsidR="002F75D0" w:rsidRPr="00007705">
              <w:rPr>
                <w:rFonts w:ascii="Arial" w:hAnsi="Arial" w:cs="Arial"/>
                <w:sz w:val="20"/>
                <w:szCs w:val="20"/>
              </w:rPr>
              <w:t>daily.</w:t>
            </w:r>
            <w:r w:rsidRPr="00007705">
              <w:rPr>
                <w:rFonts w:ascii="Arial" w:hAnsi="Arial" w:cs="Arial"/>
                <w:sz w:val="20"/>
                <w:szCs w:val="20"/>
              </w:rPr>
              <w:t xml:space="preserve"> </w:t>
            </w:r>
          </w:p>
          <w:p w14:paraId="349F8FEF" w14:textId="77777777" w:rsidR="00FF4661" w:rsidRPr="00007705" w:rsidRDefault="00007705" w:rsidP="004C4D82">
            <w:pPr>
              <w:pStyle w:val="ListParagraph"/>
              <w:numPr>
                <w:ilvl w:val="0"/>
                <w:numId w:val="34"/>
              </w:numPr>
              <w:spacing w:before="120" w:after="120"/>
              <w:rPr>
                <w:rFonts w:ascii="Arial" w:hAnsi="Arial" w:cs="Arial"/>
                <w:sz w:val="20"/>
                <w:szCs w:val="20"/>
              </w:rPr>
            </w:pPr>
            <w:r>
              <w:rPr>
                <w:rFonts w:ascii="Arial" w:hAnsi="Arial" w:cs="Arial"/>
                <w:sz w:val="20"/>
                <w:szCs w:val="20"/>
              </w:rPr>
              <w:t xml:space="preserve">High daily doses to be given under the direction of a specialist’ maximum 1.8mg/kg per day; maximum 120mg per day. </w:t>
            </w:r>
            <w:proofErr w:type="spellStart"/>
            <w:r>
              <w:rPr>
                <w:rFonts w:ascii="Arial" w:hAnsi="Arial" w:cs="Arial"/>
                <w:sz w:val="20"/>
                <w:szCs w:val="20"/>
              </w:rPr>
              <w:t>cbnf</w:t>
            </w:r>
            <w:proofErr w:type="spellEnd"/>
          </w:p>
        </w:tc>
        <w:tc>
          <w:tcPr>
            <w:tcW w:w="3119" w:type="dxa"/>
            <w:shd w:val="clear" w:color="auto" w:fill="D9D9D9" w:themeFill="background1" w:themeFillShade="D9"/>
          </w:tcPr>
          <w:p w14:paraId="68618B14" w14:textId="77777777" w:rsidR="00FF4661" w:rsidRPr="00FF4661" w:rsidRDefault="00FF4661" w:rsidP="004C4D82">
            <w:pPr>
              <w:pStyle w:val="ListParagraph"/>
              <w:numPr>
                <w:ilvl w:val="0"/>
                <w:numId w:val="19"/>
              </w:numPr>
              <w:spacing w:before="120" w:after="120"/>
              <w:rPr>
                <w:rFonts w:ascii="Arial" w:hAnsi="Arial" w:cs="Arial"/>
                <w:sz w:val="20"/>
                <w:szCs w:val="20"/>
              </w:rPr>
            </w:pPr>
            <w:r w:rsidRPr="00FF4661">
              <w:rPr>
                <w:rFonts w:ascii="Arial" w:hAnsi="Arial" w:cs="Arial"/>
                <w:sz w:val="20"/>
                <w:szCs w:val="20"/>
              </w:rPr>
              <w:t>GI Symptoms</w:t>
            </w:r>
          </w:p>
          <w:p w14:paraId="01217482" w14:textId="77777777" w:rsidR="00FF4661" w:rsidRPr="00FF4661" w:rsidRDefault="00FF4661" w:rsidP="004C4D82">
            <w:pPr>
              <w:pStyle w:val="ListParagraph"/>
              <w:numPr>
                <w:ilvl w:val="0"/>
                <w:numId w:val="19"/>
              </w:numPr>
              <w:spacing w:before="120" w:after="120"/>
              <w:rPr>
                <w:rFonts w:ascii="Arial" w:hAnsi="Arial" w:cs="Arial"/>
                <w:sz w:val="20"/>
                <w:szCs w:val="20"/>
              </w:rPr>
            </w:pPr>
            <w:r w:rsidRPr="00FF4661">
              <w:rPr>
                <w:rFonts w:ascii="Arial" w:hAnsi="Arial" w:cs="Arial"/>
                <w:sz w:val="20"/>
                <w:szCs w:val="20"/>
              </w:rPr>
              <w:t>Anorexia</w:t>
            </w:r>
          </w:p>
          <w:p w14:paraId="7B7F4476" w14:textId="77777777" w:rsidR="00FF4661" w:rsidRPr="00FF4661" w:rsidRDefault="00FF4661" w:rsidP="004C4D82">
            <w:pPr>
              <w:pStyle w:val="ListParagraph"/>
              <w:numPr>
                <w:ilvl w:val="0"/>
                <w:numId w:val="19"/>
              </w:numPr>
              <w:spacing w:before="120" w:after="120"/>
              <w:rPr>
                <w:rFonts w:ascii="Arial" w:hAnsi="Arial" w:cs="Arial"/>
                <w:sz w:val="20"/>
                <w:szCs w:val="20"/>
              </w:rPr>
            </w:pPr>
            <w:r w:rsidRPr="00FF4661">
              <w:rPr>
                <w:rFonts w:ascii="Arial" w:hAnsi="Arial" w:cs="Arial"/>
                <w:sz w:val="20"/>
                <w:szCs w:val="20"/>
              </w:rPr>
              <w:t>Dry mouth</w:t>
            </w:r>
          </w:p>
          <w:p w14:paraId="5C726DA2" w14:textId="77777777" w:rsidR="00FF4661" w:rsidRPr="00FF4661" w:rsidRDefault="00FF4661" w:rsidP="004C4D82">
            <w:pPr>
              <w:pStyle w:val="ListParagraph"/>
              <w:numPr>
                <w:ilvl w:val="0"/>
                <w:numId w:val="19"/>
              </w:numPr>
              <w:spacing w:before="120" w:after="120"/>
              <w:rPr>
                <w:rFonts w:ascii="Arial" w:hAnsi="Arial" w:cs="Arial"/>
                <w:sz w:val="20"/>
                <w:szCs w:val="20"/>
              </w:rPr>
            </w:pPr>
            <w:r w:rsidRPr="00FF4661">
              <w:rPr>
                <w:rFonts w:ascii="Arial" w:hAnsi="Arial" w:cs="Arial"/>
                <w:sz w:val="20"/>
                <w:szCs w:val="20"/>
              </w:rPr>
              <w:t xml:space="preserve">Palpitation, tachycardia </w:t>
            </w:r>
          </w:p>
          <w:p w14:paraId="2CE4D484" w14:textId="77777777" w:rsidR="00FF4661" w:rsidRPr="00FF4661" w:rsidRDefault="00FF4661" w:rsidP="004C4D82">
            <w:pPr>
              <w:pStyle w:val="ListParagraph"/>
              <w:numPr>
                <w:ilvl w:val="0"/>
                <w:numId w:val="19"/>
              </w:numPr>
              <w:spacing w:before="120" w:after="120"/>
              <w:rPr>
                <w:rFonts w:ascii="Arial" w:hAnsi="Arial" w:cs="Arial"/>
                <w:sz w:val="20"/>
                <w:szCs w:val="20"/>
              </w:rPr>
            </w:pPr>
            <w:r w:rsidRPr="00FF4661">
              <w:rPr>
                <w:rFonts w:ascii="Arial" w:hAnsi="Arial" w:cs="Arial"/>
                <w:sz w:val="20"/>
                <w:szCs w:val="20"/>
              </w:rPr>
              <w:t>Increased blood pressure, postural hypotension</w:t>
            </w:r>
          </w:p>
          <w:p w14:paraId="61B99EAC" w14:textId="77777777" w:rsidR="00FF4661" w:rsidRPr="00FF4661" w:rsidRDefault="00FF4661" w:rsidP="004C4D82">
            <w:pPr>
              <w:pStyle w:val="ListParagraph"/>
              <w:numPr>
                <w:ilvl w:val="0"/>
                <w:numId w:val="19"/>
              </w:numPr>
              <w:spacing w:before="120" w:after="120"/>
              <w:rPr>
                <w:rFonts w:ascii="Arial" w:hAnsi="Arial" w:cs="Arial"/>
                <w:sz w:val="20"/>
                <w:szCs w:val="20"/>
              </w:rPr>
            </w:pPr>
            <w:r w:rsidRPr="00FF4661">
              <w:rPr>
                <w:rFonts w:ascii="Arial" w:hAnsi="Arial" w:cs="Arial"/>
                <w:sz w:val="20"/>
                <w:szCs w:val="20"/>
              </w:rPr>
              <w:t>Restlessness, dizziness, headache</w:t>
            </w:r>
          </w:p>
          <w:p w14:paraId="29091AB5" w14:textId="77777777" w:rsidR="00FF4661" w:rsidRPr="00FF4661" w:rsidRDefault="00FF4661" w:rsidP="004C4D82">
            <w:pPr>
              <w:pStyle w:val="ListParagraph"/>
              <w:numPr>
                <w:ilvl w:val="0"/>
                <w:numId w:val="19"/>
              </w:numPr>
              <w:spacing w:before="120" w:after="120"/>
              <w:rPr>
                <w:rFonts w:ascii="Arial" w:hAnsi="Arial" w:cs="Arial"/>
                <w:sz w:val="20"/>
                <w:szCs w:val="20"/>
              </w:rPr>
            </w:pPr>
            <w:r w:rsidRPr="00FF4661">
              <w:rPr>
                <w:rFonts w:ascii="Arial" w:hAnsi="Arial" w:cs="Arial"/>
                <w:sz w:val="20"/>
                <w:szCs w:val="20"/>
              </w:rPr>
              <w:t>Urinary retention, enuresis</w:t>
            </w:r>
          </w:p>
          <w:p w14:paraId="5D524CA5" w14:textId="77777777" w:rsidR="00FF4661" w:rsidRPr="00FF4661" w:rsidRDefault="00FF4661" w:rsidP="004C4D82">
            <w:pPr>
              <w:pStyle w:val="ListParagraph"/>
              <w:numPr>
                <w:ilvl w:val="0"/>
                <w:numId w:val="19"/>
              </w:numPr>
              <w:spacing w:before="120" w:after="120"/>
              <w:rPr>
                <w:rFonts w:ascii="Arial" w:hAnsi="Arial" w:cs="Arial"/>
                <w:sz w:val="20"/>
                <w:szCs w:val="20"/>
              </w:rPr>
            </w:pPr>
            <w:r w:rsidRPr="00FF4661">
              <w:rPr>
                <w:rFonts w:ascii="Arial" w:hAnsi="Arial" w:cs="Arial"/>
                <w:sz w:val="20"/>
                <w:szCs w:val="20"/>
              </w:rPr>
              <w:t>Sexual dysfunction, menstrual disturbance</w:t>
            </w:r>
          </w:p>
          <w:p w14:paraId="39534D4E" w14:textId="77777777" w:rsidR="00FF4661" w:rsidRPr="00FF4661" w:rsidRDefault="00FF4661" w:rsidP="004C4D82">
            <w:pPr>
              <w:pStyle w:val="ListParagraph"/>
              <w:numPr>
                <w:ilvl w:val="0"/>
                <w:numId w:val="19"/>
              </w:numPr>
              <w:spacing w:before="120" w:after="120"/>
              <w:rPr>
                <w:rFonts w:ascii="Arial" w:hAnsi="Arial" w:cs="Arial"/>
                <w:sz w:val="20"/>
                <w:szCs w:val="20"/>
              </w:rPr>
            </w:pPr>
            <w:r w:rsidRPr="00FF4661">
              <w:rPr>
                <w:rFonts w:ascii="Arial" w:hAnsi="Arial" w:cs="Arial"/>
                <w:sz w:val="20"/>
                <w:szCs w:val="20"/>
              </w:rPr>
              <w:t>Mydriasis, conjunctivitis</w:t>
            </w:r>
          </w:p>
          <w:p w14:paraId="4BC96A60" w14:textId="77777777" w:rsidR="00FF4661" w:rsidRPr="00FF4661" w:rsidRDefault="00FF4661" w:rsidP="004C4D82">
            <w:pPr>
              <w:pStyle w:val="ListParagraph"/>
              <w:numPr>
                <w:ilvl w:val="0"/>
                <w:numId w:val="19"/>
              </w:numPr>
              <w:spacing w:before="120" w:after="120"/>
              <w:rPr>
                <w:rFonts w:ascii="Arial" w:hAnsi="Arial" w:cs="Arial"/>
                <w:sz w:val="20"/>
                <w:szCs w:val="20"/>
              </w:rPr>
            </w:pPr>
            <w:r w:rsidRPr="00FF4661">
              <w:rPr>
                <w:rFonts w:ascii="Arial" w:hAnsi="Arial" w:cs="Arial"/>
                <w:sz w:val="20"/>
                <w:szCs w:val="20"/>
              </w:rPr>
              <w:t>Dermatitis, sweating, weight changes</w:t>
            </w:r>
          </w:p>
          <w:p w14:paraId="0902B1D4" w14:textId="77777777" w:rsidR="00FF4661" w:rsidRPr="00FF4661" w:rsidRDefault="00FF4661" w:rsidP="004C4D82">
            <w:pPr>
              <w:pStyle w:val="ListParagraph"/>
              <w:numPr>
                <w:ilvl w:val="0"/>
                <w:numId w:val="19"/>
              </w:numPr>
              <w:spacing w:before="120" w:after="120"/>
              <w:rPr>
                <w:rFonts w:ascii="Arial" w:hAnsi="Arial" w:cs="Arial"/>
                <w:sz w:val="20"/>
                <w:szCs w:val="20"/>
              </w:rPr>
            </w:pPr>
            <w:r w:rsidRPr="00FF4661">
              <w:rPr>
                <w:rFonts w:ascii="Arial" w:hAnsi="Arial" w:cs="Arial"/>
                <w:sz w:val="20"/>
                <w:szCs w:val="20"/>
              </w:rPr>
              <w:t>Less commonly suicidal ideation</w:t>
            </w:r>
          </w:p>
          <w:p w14:paraId="476CDA65" w14:textId="77777777" w:rsidR="00FF4661" w:rsidRPr="00FF4661" w:rsidRDefault="00FF4661" w:rsidP="004C4D82">
            <w:pPr>
              <w:pStyle w:val="ListParagraph"/>
              <w:numPr>
                <w:ilvl w:val="0"/>
                <w:numId w:val="19"/>
              </w:numPr>
              <w:spacing w:before="120" w:after="120"/>
              <w:rPr>
                <w:rFonts w:ascii="Arial" w:hAnsi="Arial" w:cs="Arial"/>
                <w:sz w:val="20"/>
                <w:szCs w:val="20"/>
              </w:rPr>
            </w:pPr>
            <w:r w:rsidRPr="00FF4661">
              <w:rPr>
                <w:rFonts w:ascii="Arial" w:hAnsi="Arial" w:cs="Arial"/>
                <w:sz w:val="20"/>
                <w:szCs w:val="20"/>
              </w:rPr>
              <w:t>Very rarely hepatic disorders.</w:t>
            </w:r>
          </w:p>
        </w:tc>
        <w:tc>
          <w:tcPr>
            <w:tcW w:w="2941" w:type="dxa"/>
            <w:shd w:val="clear" w:color="auto" w:fill="D9D9D9" w:themeFill="background1" w:themeFillShade="D9"/>
          </w:tcPr>
          <w:p w14:paraId="3603405D" w14:textId="77777777" w:rsidR="00FF4661" w:rsidRPr="00FF4661" w:rsidRDefault="00FF4661" w:rsidP="004C4D82">
            <w:pPr>
              <w:pStyle w:val="ListParagraph"/>
              <w:numPr>
                <w:ilvl w:val="0"/>
                <w:numId w:val="21"/>
              </w:numPr>
              <w:spacing w:before="120" w:after="120"/>
              <w:rPr>
                <w:rFonts w:ascii="Arial" w:hAnsi="Arial" w:cs="Arial"/>
                <w:sz w:val="20"/>
                <w:szCs w:val="20"/>
              </w:rPr>
            </w:pPr>
            <w:r w:rsidRPr="00FF4661">
              <w:rPr>
                <w:rFonts w:ascii="Arial" w:hAnsi="Arial" w:cs="Arial"/>
                <w:sz w:val="20"/>
                <w:szCs w:val="20"/>
              </w:rPr>
              <w:t>MAOI’s risk of hypertensive crisis</w:t>
            </w:r>
          </w:p>
          <w:p w14:paraId="35C90A4D" w14:textId="77777777" w:rsidR="00FF4661" w:rsidRPr="00FF4661" w:rsidRDefault="00FF4661" w:rsidP="004C4D82">
            <w:pPr>
              <w:pStyle w:val="ListParagraph"/>
              <w:numPr>
                <w:ilvl w:val="0"/>
                <w:numId w:val="21"/>
              </w:numPr>
              <w:spacing w:before="120" w:after="120"/>
              <w:rPr>
                <w:rFonts w:ascii="Arial" w:hAnsi="Arial" w:cs="Arial"/>
                <w:sz w:val="20"/>
                <w:szCs w:val="20"/>
              </w:rPr>
            </w:pPr>
            <w:r w:rsidRPr="00FF4661">
              <w:rPr>
                <w:rFonts w:ascii="Arial" w:hAnsi="Arial" w:cs="Arial"/>
                <w:sz w:val="20"/>
                <w:szCs w:val="20"/>
              </w:rPr>
              <w:t>Increased risk of ventricular arrhythmias with</w:t>
            </w:r>
          </w:p>
          <w:p w14:paraId="7C9CEFA1" w14:textId="77777777" w:rsidR="00FF4661" w:rsidRPr="00007705" w:rsidRDefault="00FF4661" w:rsidP="004C4D82">
            <w:pPr>
              <w:pStyle w:val="ListParagraph"/>
              <w:numPr>
                <w:ilvl w:val="1"/>
                <w:numId w:val="21"/>
              </w:numPr>
              <w:spacing w:before="120" w:after="120"/>
              <w:rPr>
                <w:rFonts w:ascii="Arial" w:hAnsi="Arial" w:cs="Arial"/>
                <w:sz w:val="20"/>
                <w:szCs w:val="20"/>
              </w:rPr>
            </w:pPr>
            <w:r w:rsidRPr="00007705">
              <w:rPr>
                <w:rFonts w:ascii="Arial" w:hAnsi="Arial" w:cs="Arial"/>
                <w:sz w:val="20"/>
                <w:szCs w:val="20"/>
              </w:rPr>
              <w:t>Amiodarone</w:t>
            </w:r>
          </w:p>
          <w:p w14:paraId="2BA1F484" w14:textId="77777777" w:rsidR="00FF4661" w:rsidRPr="00007705" w:rsidRDefault="00FF4661" w:rsidP="004C4D82">
            <w:pPr>
              <w:pStyle w:val="ListParagraph"/>
              <w:numPr>
                <w:ilvl w:val="1"/>
                <w:numId w:val="21"/>
              </w:numPr>
              <w:spacing w:before="120" w:after="120"/>
              <w:rPr>
                <w:rFonts w:ascii="Arial" w:hAnsi="Arial" w:cs="Arial"/>
                <w:sz w:val="20"/>
                <w:szCs w:val="20"/>
              </w:rPr>
            </w:pPr>
            <w:r w:rsidRPr="00007705">
              <w:rPr>
                <w:rFonts w:ascii="Arial" w:hAnsi="Arial" w:cs="Arial"/>
                <w:sz w:val="20"/>
                <w:szCs w:val="20"/>
              </w:rPr>
              <w:t xml:space="preserve">Antidepressants, Tricyclics </w:t>
            </w:r>
          </w:p>
          <w:p w14:paraId="7F2E3DB2" w14:textId="77777777" w:rsidR="00FF4661" w:rsidRPr="00007705" w:rsidRDefault="00FF4661" w:rsidP="004C4D82">
            <w:pPr>
              <w:pStyle w:val="ListParagraph"/>
              <w:numPr>
                <w:ilvl w:val="1"/>
                <w:numId w:val="21"/>
              </w:numPr>
              <w:spacing w:before="120" w:after="120"/>
              <w:rPr>
                <w:rFonts w:ascii="Arial" w:hAnsi="Arial" w:cs="Arial"/>
                <w:sz w:val="20"/>
                <w:szCs w:val="20"/>
              </w:rPr>
            </w:pPr>
            <w:r w:rsidRPr="00007705">
              <w:rPr>
                <w:rFonts w:ascii="Arial" w:hAnsi="Arial" w:cs="Arial"/>
                <w:sz w:val="20"/>
                <w:szCs w:val="20"/>
              </w:rPr>
              <w:t xml:space="preserve">Antipsychotics </w:t>
            </w:r>
          </w:p>
          <w:p w14:paraId="2C01DC63" w14:textId="77777777" w:rsidR="00FF4661" w:rsidRPr="00007705" w:rsidRDefault="00FF4661" w:rsidP="004C4D82">
            <w:pPr>
              <w:pStyle w:val="ListParagraph"/>
              <w:numPr>
                <w:ilvl w:val="1"/>
                <w:numId w:val="21"/>
              </w:numPr>
              <w:spacing w:before="120" w:after="120"/>
              <w:rPr>
                <w:rFonts w:ascii="Arial" w:hAnsi="Arial" w:cs="Arial"/>
                <w:sz w:val="20"/>
                <w:szCs w:val="20"/>
              </w:rPr>
            </w:pPr>
            <w:r w:rsidRPr="00007705">
              <w:rPr>
                <w:rFonts w:ascii="Arial" w:hAnsi="Arial" w:cs="Arial"/>
                <w:sz w:val="20"/>
                <w:szCs w:val="20"/>
              </w:rPr>
              <w:t xml:space="preserve">Disopyramide </w:t>
            </w:r>
          </w:p>
          <w:p w14:paraId="5E708C38" w14:textId="77777777" w:rsidR="00FF4661" w:rsidRPr="00007705" w:rsidRDefault="00FF4661" w:rsidP="004C4D82">
            <w:pPr>
              <w:pStyle w:val="ListParagraph"/>
              <w:numPr>
                <w:ilvl w:val="1"/>
                <w:numId w:val="21"/>
              </w:numPr>
              <w:spacing w:before="120" w:after="120"/>
              <w:rPr>
                <w:rFonts w:ascii="Arial" w:hAnsi="Arial" w:cs="Arial"/>
                <w:sz w:val="20"/>
                <w:szCs w:val="20"/>
              </w:rPr>
            </w:pPr>
            <w:r w:rsidRPr="00007705">
              <w:rPr>
                <w:rFonts w:ascii="Arial" w:hAnsi="Arial" w:cs="Arial"/>
                <w:sz w:val="20"/>
                <w:szCs w:val="20"/>
              </w:rPr>
              <w:t>Diuretics (hypokalaemia)</w:t>
            </w:r>
          </w:p>
          <w:p w14:paraId="1EC01A69" w14:textId="77777777" w:rsidR="00FF4661" w:rsidRPr="00007705" w:rsidRDefault="00FF4661" w:rsidP="004C4D82">
            <w:pPr>
              <w:pStyle w:val="ListParagraph"/>
              <w:numPr>
                <w:ilvl w:val="1"/>
                <w:numId w:val="21"/>
              </w:numPr>
              <w:spacing w:before="120" w:after="120"/>
              <w:rPr>
                <w:rFonts w:ascii="Arial" w:hAnsi="Arial" w:cs="Arial"/>
                <w:sz w:val="20"/>
                <w:szCs w:val="20"/>
              </w:rPr>
            </w:pPr>
            <w:r w:rsidRPr="00007705">
              <w:rPr>
                <w:rFonts w:ascii="Arial" w:hAnsi="Arial" w:cs="Arial"/>
                <w:sz w:val="20"/>
                <w:szCs w:val="20"/>
              </w:rPr>
              <w:t>Mefloquine</w:t>
            </w:r>
          </w:p>
          <w:p w14:paraId="4AC1EE5C" w14:textId="77777777" w:rsidR="00FF4661" w:rsidRPr="00007705" w:rsidRDefault="00FF4661" w:rsidP="004C4D82">
            <w:pPr>
              <w:pStyle w:val="ListParagraph"/>
              <w:numPr>
                <w:ilvl w:val="1"/>
                <w:numId w:val="21"/>
              </w:numPr>
              <w:spacing w:before="120" w:after="120"/>
              <w:rPr>
                <w:rFonts w:ascii="Arial" w:hAnsi="Arial" w:cs="Arial"/>
                <w:sz w:val="20"/>
                <w:szCs w:val="20"/>
              </w:rPr>
            </w:pPr>
            <w:r w:rsidRPr="00007705">
              <w:rPr>
                <w:rFonts w:ascii="Arial" w:hAnsi="Arial" w:cs="Arial"/>
                <w:sz w:val="20"/>
                <w:szCs w:val="20"/>
              </w:rPr>
              <w:t>Methadone</w:t>
            </w:r>
          </w:p>
          <w:p w14:paraId="0CE20C74" w14:textId="77777777" w:rsidR="00FF4661" w:rsidRPr="00007705" w:rsidRDefault="00FF4661" w:rsidP="004C4D82">
            <w:pPr>
              <w:pStyle w:val="ListParagraph"/>
              <w:numPr>
                <w:ilvl w:val="1"/>
                <w:numId w:val="21"/>
              </w:numPr>
              <w:spacing w:before="120" w:after="120"/>
              <w:rPr>
                <w:rFonts w:ascii="Arial" w:hAnsi="Arial" w:cs="Arial"/>
                <w:sz w:val="20"/>
                <w:szCs w:val="20"/>
              </w:rPr>
            </w:pPr>
            <w:r w:rsidRPr="00007705">
              <w:rPr>
                <w:rFonts w:ascii="Arial" w:hAnsi="Arial" w:cs="Arial"/>
                <w:sz w:val="20"/>
                <w:szCs w:val="20"/>
              </w:rPr>
              <w:t>Moxifloxacin</w:t>
            </w:r>
          </w:p>
          <w:p w14:paraId="57046720" w14:textId="77777777" w:rsidR="00FF4661" w:rsidRPr="00007705" w:rsidRDefault="00FF4661" w:rsidP="004C4D82">
            <w:pPr>
              <w:pStyle w:val="ListParagraph"/>
              <w:numPr>
                <w:ilvl w:val="1"/>
                <w:numId w:val="21"/>
              </w:numPr>
              <w:spacing w:before="120" w:after="120"/>
              <w:rPr>
                <w:rFonts w:ascii="Arial" w:hAnsi="Arial" w:cs="Arial"/>
                <w:sz w:val="20"/>
                <w:szCs w:val="20"/>
              </w:rPr>
            </w:pPr>
            <w:r w:rsidRPr="00007705">
              <w:rPr>
                <w:rFonts w:ascii="Arial" w:hAnsi="Arial" w:cs="Arial"/>
                <w:sz w:val="20"/>
                <w:szCs w:val="20"/>
              </w:rPr>
              <w:t>Procainamide</w:t>
            </w:r>
          </w:p>
          <w:p w14:paraId="5EF51E2D" w14:textId="77777777" w:rsidR="00FF4661" w:rsidRPr="00007705" w:rsidRDefault="00FF4661" w:rsidP="004C4D82">
            <w:pPr>
              <w:pStyle w:val="ListParagraph"/>
              <w:numPr>
                <w:ilvl w:val="1"/>
                <w:numId w:val="21"/>
              </w:numPr>
              <w:spacing w:before="120" w:after="120"/>
              <w:rPr>
                <w:rFonts w:ascii="Arial" w:hAnsi="Arial" w:cs="Arial"/>
                <w:b/>
                <w:color w:val="0070C0"/>
                <w:sz w:val="20"/>
                <w:szCs w:val="20"/>
              </w:rPr>
            </w:pPr>
            <w:r w:rsidRPr="00007705">
              <w:rPr>
                <w:rFonts w:ascii="Arial" w:hAnsi="Arial" w:cs="Arial"/>
                <w:sz w:val="20"/>
                <w:szCs w:val="20"/>
              </w:rPr>
              <w:t>Sotalol</w:t>
            </w:r>
          </w:p>
        </w:tc>
      </w:tr>
      <w:tr w:rsidR="00007705" w:rsidRPr="00FF4661" w14:paraId="625979FB" w14:textId="77777777" w:rsidTr="004C4D82">
        <w:trPr>
          <w:cantSplit/>
          <w:trHeight w:val="3909"/>
        </w:trPr>
        <w:tc>
          <w:tcPr>
            <w:tcW w:w="4219" w:type="dxa"/>
            <w:shd w:val="clear" w:color="auto" w:fill="D9D9D9" w:themeFill="background1" w:themeFillShade="D9"/>
          </w:tcPr>
          <w:p w14:paraId="4185074D" w14:textId="77777777" w:rsidR="00E2566D" w:rsidRPr="00FF4661" w:rsidRDefault="00E2566D" w:rsidP="004C4D82">
            <w:pPr>
              <w:pStyle w:val="ListParagraph"/>
              <w:spacing w:before="120" w:after="120"/>
              <w:ind w:left="0"/>
              <w:rPr>
                <w:rFonts w:ascii="Arial" w:hAnsi="Arial" w:cs="Arial"/>
                <w:b/>
                <w:sz w:val="20"/>
                <w:szCs w:val="20"/>
              </w:rPr>
            </w:pPr>
            <w:r w:rsidRPr="00FF4661">
              <w:rPr>
                <w:rFonts w:ascii="Arial" w:hAnsi="Arial" w:cs="Arial"/>
                <w:b/>
                <w:sz w:val="20"/>
                <w:szCs w:val="20"/>
              </w:rPr>
              <w:t>Guanfacine</w:t>
            </w:r>
          </w:p>
          <w:p w14:paraId="2775DB08" w14:textId="77777777" w:rsidR="00E2566D" w:rsidRPr="00FF4661" w:rsidRDefault="00E2566D" w:rsidP="004C4D82">
            <w:pPr>
              <w:pStyle w:val="ListParagraph"/>
              <w:numPr>
                <w:ilvl w:val="0"/>
                <w:numId w:val="26"/>
              </w:numPr>
              <w:spacing w:before="120" w:after="120" w:line="276" w:lineRule="auto"/>
              <w:rPr>
                <w:rFonts w:ascii="Arial" w:hAnsi="Arial" w:cs="Arial"/>
                <w:sz w:val="20"/>
                <w:szCs w:val="20"/>
              </w:rPr>
            </w:pPr>
            <w:r w:rsidRPr="00FF4661">
              <w:rPr>
                <w:rFonts w:ascii="Arial" w:hAnsi="Arial" w:cs="Arial"/>
                <w:sz w:val="20"/>
                <w:szCs w:val="20"/>
              </w:rPr>
              <w:t>6-12 years (body weight 25kg and above)</w:t>
            </w:r>
          </w:p>
          <w:p w14:paraId="6F609560" w14:textId="34435A09" w:rsidR="00E2566D" w:rsidRDefault="00E2566D" w:rsidP="004C4D82">
            <w:pPr>
              <w:pStyle w:val="ListParagraph"/>
              <w:numPr>
                <w:ilvl w:val="1"/>
                <w:numId w:val="26"/>
              </w:numPr>
              <w:spacing w:before="120" w:after="120" w:line="276" w:lineRule="auto"/>
              <w:rPr>
                <w:rFonts w:ascii="Arial" w:hAnsi="Arial" w:cs="Arial"/>
                <w:sz w:val="20"/>
                <w:szCs w:val="20"/>
              </w:rPr>
            </w:pPr>
            <w:r w:rsidRPr="00FF4661">
              <w:rPr>
                <w:rFonts w:ascii="Arial" w:hAnsi="Arial" w:cs="Arial"/>
                <w:sz w:val="20"/>
                <w:szCs w:val="20"/>
              </w:rPr>
              <w:t xml:space="preserve">1mg daily, increased by 1mg </w:t>
            </w:r>
            <w:r w:rsidR="002F75D0" w:rsidRPr="00FF4661">
              <w:rPr>
                <w:rFonts w:ascii="Arial" w:hAnsi="Arial" w:cs="Arial"/>
                <w:sz w:val="20"/>
                <w:szCs w:val="20"/>
              </w:rPr>
              <w:t>weekly,</w:t>
            </w:r>
            <w:r w:rsidRPr="00FF4661">
              <w:rPr>
                <w:rFonts w:ascii="Arial" w:hAnsi="Arial" w:cs="Arial"/>
                <w:sz w:val="20"/>
                <w:szCs w:val="20"/>
              </w:rPr>
              <w:t xml:space="preserve"> if necessary, maintenance 0.05- 0.12mg/kg, maximum 4mg daily</w:t>
            </w:r>
          </w:p>
          <w:p w14:paraId="674F6B0D" w14:textId="77777777" w:rsidR="004C4D82" w:rsidRPr="00FF4661" w:rsidRDefault="004C4D82" w:rsidP="004C4D82">
            <w:pPr>
              <w:pStyle w:val="ListParagraph"/>
              <w:numPr>
                <w:ilvl w:val="0"/>
                <w:numId w:val="26"/>
              </w:numPr>
              <w:spacing w:before="120" w:after="120"/>
              <w:rPr>
                <w:rFonts w:ascii="Arial" w:hAnsi="Arial" w:cs="Arial"/>
                <w:sz w:val="20"/>
                <w:szCs w:val="20"/>
              </w:rPr>
            </w:pPr>
            <w:r w:rsidRPr="00FF4661">
              <w:rPr>
                <w:rFonts w:ascii="Arial" w:hAnsi="Arial" w:cs="Arial"/>
                <w:sz w:val="20"/>
                <w:szCs w:val="20"/>
              </w:rPr>
              <w:t>13-17 years (bodyweight 34- 41.4kg)</w:t>
            </w:r>
          </w:p>
          <w:p w14:paraId="6CCAB034" w14:textId="4BE20C1B" w:rsidR="004C4D82" w:rsidRPr="00FF4661" w:rsidRDefault="004C4D82" w:rsidP="004C4D82">
            <w:pPr>
              <w:pStyle w:val="ListParagraph"/>
              <w:numPr>
                <w:ilvl w:val="1"/>
                <w:numId w:val="26"/>
              </w:numPr>
              <w:spacing w:before="120" w:after="120"/>
              <w:rPr>
                <w:rFonts w:ascii="Arial" w:hAnsi="Arial" w:cs="Arial"/>
                <w:sz w:val="20"/>
                <w:szCs w:val="20"/>
              </w:rPr>
            </w:pPr>
            <w:r w:rsidRPr="00FF4661">
              <w:rPr>
                <w:rFonts w:ascii="Arial" w:hAnsi="Arial" w:cs="Arial"/>
                <w:sz w:val="20"/>
                <w:szCs w:val="20"/>
              </w:rPr>
              <w:t xml:space="preserve">1mg daily, increased by 1mg </w:t>
            </w:r>
            <w:r w:rsidR="002F75D0" w:rsidRPr="00FF4661">
              <w:rPr>
                <w:rFonts w:ascii="Arial" w:hAnsi="Arial" w:cs="Arial"/>
                <w:sz w:val="20"/>
                <w:szCs w:val="20"/>
              </w:rPr>
              <w:t>weekly,</w:t>
            </w:r>
            <w:r w:rsidRPr="00FF4661">
              <w:rPr>
                <w:rFonts w:ascii="Arial" w:hAnsi="Arial" w:cs="Arial"/>
                <w:sz w:val="20"/>
                <w:szCs w:val="20"/>
              </w:rPr>
              <w:t xml:space="preserve"> if necessary, maintenance 0.05- 0.12mg/kg, maximum 4mg daily</w:t>
            </w:r>
          </w:p>
          <w:p w14:paraId="36D6BCF8" w14:textId="77777777" w:rsidR="004C4D82" w:rsidRPr="00FF4661" w:rsidRDefault="004C4D82" w:rsidP="004C4D82">
            <w:pPr>
              <w:pStyle w:val="ListParagraph"/>
              <w:numPr>
                <w:ilvl w:val="0"/>
                <w:numId w:val="26"/>
              </w:numPr>
              <w:spacing w:before="120" w:after="120"/>
              <w:rPr>
                <w:rFonts w:ascii="Arial" w:hAnsi="Arial" w:cs="Arial"/>
                <w:sz w:val="20"/>
                <w:szCs w:val="20"/>
              </w:rPr>
            </w:pPr>
            <w:r w:rsidRPr="00FF4661">
              <w:rPr>
                <w:rFonts w:ascii="Arial" w:hAnsi="Arial" w:cs="Arial"/>
                <w:sz w:val="20"/>
                <w:szCs w:val="20"/>
              </w:rPr>
              <w:t>13-17 years (bodyweight 41.5 – 49.4kg)</w:t>
            </w:r>
          </w:p>
          <w:p w14:paraId="671C3628" w14:textId="73C3767A" w:rsidR="004C4D82" w:rsidRPr="00FF4661" w:rsidRDefault="004C4D82" w:rsidP="004C4D82">
            <w:pPr>
              <w:pStyle w:val="ListParagraph"/>
              <w:numPr>
                <w:ilvl w:val="1"/>
                <w:numId w:val="26"/>
              </w:numPr>
              <w:spacing w:before="120" w:after="120"/>
              <w:rPr>
                <w:rFonts w:ascii="Arial" w:hAnsi="Arial" w:cs="Arial"/>
                <w:sz w:val="20"/>
                <w:szCs w:val="20"/>
              </w:rPr>
            </w:pPr>
            <w:r w:rsidRPr="00FF4661">
              <w:rPr>
                <w:rFonts w:ascii="Arial" w:hAnsi="Arial" w:cs="Arial"/>
                <w:sz w:val="20"/>
                <w:szCs w:val="20"/>
              </w:rPr>
              <w:t xml:space="preserve">1mg daily, increased by 1mg </w:t>
            </w:r>
            <w:r w:rsidR="002F75D0" w:rsidRPr="00FF4661">
              <w:rPr>
                <w:rFonts w:ascii="Arial" w:hAnsi="Arial" w:cs="Arial"/>
                <w:sz w:val="20"/>
                <w:szCs w:val="20"/>
              </w:rPr>
              <w:t>weekly,</w:t>
            </w:r>
            <w:r w:rsidRPr="00FF4661">
              <w:rPr>
                <w:rFonts w:ascii="Arial" w:hAnsi="Arial" w:cs="Arial"/>
                <w:sz w:val="20"/>
                <w:szCs w:val="20"/>
              </w:rPr>
              <w:t xml:space="preserve"> if necessary, maintenance 0.05- 0.12mg/kg, maximum 5mg daily</w:t>
            </w:r>
          </w:p>
          <w:p w14:paraId="405681FC" w14:textId="77777777" w:rsidR="004C4D82" w:rsidRPr="00FF4661" w:rsidRDefault="004C4D82" w:rsidP="004C4D82">
            <w:pPr>
              <w:pStyle w:val="ListParagraph"/>
              <w:numPr>
                <w:ilvl w:val="0"/>
                <w:numId w:val="26"/>
              </w:numPr>
              <w:spacing w:before="120" w:after="120"/>
              <w:rPr>
                <w:rFonts w:ascii="Arial" w:hAnsi="Arial" w:cs="Arial"/>
                <w:sz w:val="20"/>
                <w:szCs w:val="20"/>
              </w:rPr>
            </w:pPr>
            <w:r w:rsidRPr="00FF4661">
              <w:rPr>
                <w:rFonts w:ascii="Arial" w:hAnsi="Arial" w:cs="Arial"/>
                <w:sz w:val="20"/>
                <w:szCs w:val="20"/>
              </w:rPr>
              <w:t>13-17 years (bodyweight 49.5 – 58.4kg)</w:t>
            </w:r>
          </w:p>
          <w:p w14:paraId="51C57823" w14:textId="75D24514" w:rsidR="004C4D82" w:rsidRPr="00FF4661" w:rsidRDefault="004C4D82" w:rsidP="004C4D82">
            <w:pPr>
              <w:pStyle w:val="ListParagraph"/>
              <w:numPr>
                <w:ilvl w:val="1"/>
                <w:numId w:val="26"/>
              </w:numPr>
              <w:spacing w:before="120" w:after="120"/>
              <w:rPr>
                <w:rFonts w:ascii="Arial" w:hAnsi="Arial" w:cs="Arial"/>
                <w:sz w:val="20"/>
                <w:szCs w:val="20"/>
              </w:rPr>
            </w:pPr>
            <w:r w:rsidRPr="00FF4661">
              <w:rPr>
                <w:rFonts w:ascii="Arial" w:hAnsi="Arial" w:cs="Arial"/>
                <w:sz w:val="20"/>
                <w:szCs w:val="20"/>
              </w:rPr>
              <w:t xml:space="preserve">1mg daily, increased by 1mg </w:t>
            </w:r>
            <w:r w:rsidR="002F75D0" w:rsidRPr="00FF4661">
              <w:rPr>
                <w:rFonts w:ascii="Arial" w:hAnsi="Arial" w:cs="Arial"/>
                <w:sz w:val="20"/>
                <w:szCs w:val="20"/>
              </w:rPr>
              <w:t>weekly,</w:t>
            </w:r>
            <w:r w:rsidRPr="00FF4661">
              <w:rPr>
                <w:rFonts w:ascii="Arial" w:hAnsi="Arial" w:cs="Arial"/>
                <w:sz w:val="20"/>
                <w:szCs w:val="20"/>
              </w:rPr>
              <w:t xml:space="preserve"> if necessary, maintenance 0.05- 0.12mg/kg, maximum 6mg daily</w:t>
            </w:r>
          </w:p>
          <w:p w14:paraId="1F9EBD85" w14:textId="77777777" w:rsidR="004C4D82" w:rsidRPr="00FF4661" w:rsidRDefault="004C4D82" w:rsidP="004C4D82">
            <w:pPr>
              <w:pStyle w:val="ListParagraph"/>
              <w:numPr>
                <w:ilvl w:val="0"/>
                <w:numId w:val="26"/>
              </w:numPr>
              <w:spacing w:before="120" w:after="120"/>
              <w:rPr>
                <w:rFonts w:ascii="Arial" w:hAnsi="Arial" w:cs="Arial"/>
                <w:sz w:val="20"/>
                <w:szCs w:val="20"/>
              </w:rPr>
            </w:pPr>
            <w:r w:rsidRPr="00FF4661">
              <w:rPr>
                <w:rFonts w:ascii="Arial" w:hAnsi="Arial" w:cs="Arial"/>
                <w:sz w:val="20"/>
                <w:szCs w:val="20"/>
              </w:rPr>
              <w:t xml:space="preserve">13-17 years (bodyweight 58.5 and above) </w:t>
            </w:r>
          </w:p>
          <w:p w14:paraId="27D952E3" w14:textId="53CB15EC" w:rsidR="004C4D82" w:rsidRPr="00FF4661" w:rsidRDefault="004C4D82" w:rsidP="004C4D82">
            <w:pPr>
              <w:pStyle w:val="ListParagraph"/>
              <w:numPr>
                <w:ilvl w:val="0"/>
                <w:numId w:val="26"/>
              </w:numPr>
              <w:spacing w:before="120" w:after="120" w:line="276" w:lineRule="auto"/>
              <w:rPr>
                <w:rFonts w:ascii="Arial" w:hAnsi="Arial" w:cs="Arial"/>
                <w:sz w:val="20"/>
                <w:szCs w:val="20"/>
              </w:rPr>
            </w:pPr>
            <w:r w:rsidRPr="00FF4661">
              <w:rPr>
                <w:rFonts w:ascii="Arial" w:hAnsi="Arial" w:cs="Arial"/>
                <w:sz w:val="20"/>
                <w:szCs w:val="20"/>
              </w:rPr>
              <w:t xml:space="preserve">1mg daily, increased by 1mg </w:t>
            </w:r>
            <w:r w:rsidR="002F75D0" w:rsidRPr="00FF4661">
              <w:rPr>
                <w:rFonts w:ascii="Arial" w:hAnsi="Arial" w:cs="Arial"/>
                <w:sz w:val="20"/>
                <w:szCs w:val="20"/>
              </w:rPr>
              <w:t>weekly,</w:t>
            </w:r>
            <w:r w:rsidRPr="00FF4661">
              <w:rPr>
                <w:rFonts w:ascii="Arial" w:hAnsi="Arial" w:cs="Arial"/>
                <w:sz w:val="20"/>
                <w:szCs w:val="20"/>
              </w:rPr>
              <w:t xml:space="preserve"> if necessary, maintenance 0.05- 0.12mg/kg, maximum 7mg daily</w:t>
            </w:r>
          </w:p>
          <w:p w14:paraId="574D9173" w14:textId="77777777" w:rsidR="00007705" w:rsidRPr="00FF4661" w:rsidRDefault="00007705" w:rsidP="004C4D82">
            <w:pPr>
              <w:pStyle w:val="ListParagraph"/>
              <w:spacing w:before="120" w:after="120"/>
              <w:ind w:left="0"/>
              <w:rPr>
                <w:rFonts w:ascii="Arial" w:hAnsi="Arial" w:cs="Arial"/>
                <w:b/>
                <w:sz w:val="20"/>
                <w:szCs w:val="20"/>
              </w:rPr>
            </w:pPr>
          </w:p>
        </w:tc>
        <w:tc>
          <w:tcPr>
            <w:tcW w:w="3119" w:type="dxa"/>
            <w:shd w:val="clear" w:color="auto" w:fill="D9D9D9" w:themeFill="background1" w:themeFillShade="D9"/>
          </w:tcPr>
          <w:p w14:paraId="55D1D173" w14:textId="77777777" w:rsidR="00E2566D" w:rsidRPr="00FF4661" w:rsidRDefault="00E2566D" w:rsidP="004C4D82">
            <w:pPr>
              <w:pStyle w:val="ListParagraph"/>
              <w:spacing w:before="120" w:after="120"/>
              <w:ind w:left="0"/>
              <w:contextualSpacing w:val="0"/>
              <w:rPr>
                <w:rFonts w:ascii="Arial" w:hAnsi="Arial" w:cs="Arial"/>
                <w:b/>
                <w:sz w:val="20"/>
                <w:szCs w:val="20"/>
              </w:rPr>
            </w:pPr>
            <w:r w:rsidRPr="00FF4661">
              <w:rPr>
                <w:rFonts w:ascii="Arial" w:hAnsi="Arial" w:cs="Arial"/>
                <w:b/>
                <w:sz w:val="20"/>
                <w:szCs w:val="20"/>
              </w:rPr>
              <w:t>Commonly</w:t>
            </w:r>
          </w:p>
          <w:p w14:paraId="6D5D1F76" w14:textId="77777777" w:rsidR="00E2566D" w:rsidRPr="00FF4661" w:rsidRDefault="00E2566D" w:rsidP="004C4D82">
            <w:pPr>
              <w:numPr>
                <w:ilvl w:val="0"/>
                <w:numId w:val="36"/>
              </w:numPr>
              <w:spacing w:before="120" w:after="120"/>
              <w:ind w:left="357" w:hanging="357"/>
              <w:contextualSpacing/>
              <w:rPr>
                <w:rFonts w:ascii="Arial" w:eastAsia="Times New Roman" w:hAnsi="Arial" w:cs="Arial"/>
                <w:color w:val="1A1A1A"/>
                <w:sz w:val="20"/>
                <w:szCs w:val="20"/>
                <w:lang w:val="en-US" w:eastAsia="en-GB"/>
              </w:rPr>
            </w:pPr>
            <w:r w:rsidRPr="00FF4661">
              <w:rPr>
                <w:rFonts w:ascii="Arial" w:eastAsia="Times New Roman" w:hAnsi="Arial" w:cs="Arial"/>
                <w:color w:val="1A1A1A"/>
                <w:sz w:val="20"/>
                <w:szCs w:val="20"/>
                <w:lang w:val="en-US" w:eastAsia="en-GB"/>
              </w:rPr>
              <w:t>Sedation</w:t>
            </w:r>
          </w:p>
          <w:p w14:paraId="288CE748" w14:textId="77777777" w:rsidR="00E2566D" w:rsidRPr="00FF4661" w:rsidRDefault="00E2566D" w:rsidP="004C4D82">
            <w:pPr>
              <w:numPr>
                <w:ilvl w:val="0"/>
                <w:numId w:val="36"/>
              </w:numPr>
              <w:spacing w:before="120" w:after="120"/>
              <w:ind w:left="357" w:hanging="357"/>
              <w:contextualSpacing/>
              <w:rPr>
                <w:rFonts w:ascii="Arial" w:eastAsia="Times New Roman" w:hAnsi="Arial" w:cs="Arial"/>
                <w:color w:val="1A1A1A"/>
                <w:sz w:val="20"/>
                <w:szCs w:val="20"/>
                <w:lang w:val="en-US" w:eastAsia="en-GB"/>
              </w:rPr>
            </w:pPr>
            <w:r w:rsidRPr="00FF4661">
              <w:rPr>
                <w:rFonts w:ascii="Arial" w:eastAsia="Times New Roman" w:hAnsi="Arial" w:cs="Arial"/>
                <w:color w:val="1A1A1A"/>
                <w:sz w:val="20"/>
                <w:szCs w:val="20"/>
                <w:lang w:val="en-US" w:eastAsia="en-GB"/>
              </w:rPr>
              <w:t>Tiredness</w:t>
            </w:r>
          </w:p>
          <w:p w14:paraId="409180E9" w14:textId="77777777" w:rsidR="00E2566D" w:rsidRPr="00FF4661" w:rsidRDefault="00E2566D" w:rsidP="004C4D82">
            <w:pPr>
              <w:numPr>
                <w:ilvl w:val="0"/>
                <w:numId w:val="36"/>
              </w:numPr>
              <w:spacing w:before="120" w:after="120"/>
              <w:ind w:left="357" w:hanging="357"/>
              <w:contextualSpacing/>
              <w:rPr>
                <w:rFonts w:ascii="Arial" w:eastAsia="Times New Roman" w:hAnsi="Arial" w:cs="Arial"/>
                <w:color w:val="1A1A1A"/>
                <w:sz w:val="20"/>
                <w:szCs w:val="20"/>
                <w:lang w:val="en-US" w:eastAsia="en-GB"/>
              </w:rPr>
            </w:pPr>
            <w:r w:rsidRPr="00FF4661">
              <w:rPr>
                <w:rFonts w:ascii="Arial" w:eastAsia="Times New Roman" w:hAnsi="Arial" w:cs="Arial"/>
                <w:color w:val="1A1A1A"/>
                <w:sz w:val="20"/>
                <w:szCs w:val="20"/>
                <w:lang w:val="en-US" w:eastAsia="en-GB"/>
              </w:rPr>
              <w:t>Difficulty sleeping</w:t>
            </w:r>
          </w:p>
          <w:p w14:paraId="290B36A0" w14:textId="77777777" w:rsidR="00E2566D" w:rsidRPr="00FF4661" w:rsidRDefault="00E2566D" w:rsidP="004C4D82">
            <w:pPr>
              <w:numPr>
                <w:ilvl w:val="0"/>
                <w:numId w:val="36"/>
              </w:numPr>
              <w:spacing w:before="120" w:after="120"/>
              <w:ind w:left="357" w:hanging="357"/>
              <w:contextualSpacing/>
              <w:rPr>
                <w:rFonts w:ascii="Arial" w:eastAsia="Times New Roman" w:hAnsi="Arial" w:cs="Arial"/>
                <w:color w:val="1A1A1A"/>
                <w:sz w:val="20"/>
                <w:szCs w:val="20"/>
                <w:lang w:val="en-US" w:eastAsia="en-GB"/>
              </w:rPr>
            </w:pPr>
            <w:r w:rsidRPr="00FF4661">
              <w:rPr>
                <w:rFonts w:ascii="Arial" w:eastAsia="Times New Roman" w:hAnsi="Arial" w:cs="Arial"/>
                <w:color w:val="1A1A1A"/>
                <w:sz w:val="20"/>
                <w:szCs w:val="20"/>
                <w:lang w:val="en-US" w:eastAsia="en-GB"/>
              </w:rPr>
              <w:t>Low blood pressure</w:t>
            </w:r>
          </w:p>
          <w:p w14:paraId="2E3B52A5" w14:textId="77777777" w:rsidR="00E2566D" w:rsidRPr="00FF4661" w:rsidRDefault="00E2566D" w:rsidP="004C4D82">
            <w:pPr>
              <w:numPr>
                <w:ilvl w:val="0"/>
                <w:numId w:val="36"/>
              </w:numPr>
              <w:spacing w:before="120" w:after="120"/>
              <w:ind w:left="357" w:hanging="357"/>
              <w:contextualSpacing/>
              <w:rPr>
                <w:rFonts w:ascii="Arial" w:eastAsia="Times New Roman" w:hAnsi="Arial" w:cs="Arial"/>
                <w:color w:val="1A1A1A"/>
                <w:sz w:val="20"/>
                <w:szCs w:val="20"/>
                <w:lang w:val="en-US" w:eastAsia="en-GB"/>
              </w:rPr>
            </w:pPr>
            <w:r w:rsidRPr="00FF4661">
              <w:rPr>
                <w:rFonts w:ascii="Arial" w:eastAsia="Times New Roman" w:hAnsi="Arial" w:cs="Arial"/>
                <w:color w:val="1A1A1A"/>
                <w:sz w:val="20"/>
                <w:szCs w:val="20"/>
                <w:lang w:val="en-US" w:eastAsia="en-GB"/>
              </w:rPr>
              <w:t>Nausea</w:t>
            </w:r>
          </w:p>
          <w:p w14:paraId="34DE5876" w14:textId="77777777" w:rsidR="00E2566D" w:rsidRPr="00FF4661" w:rsidRDefault="00E2566D" w:rsidP="004C4D82">
            <w:pPr>
              <w:numPr>
                <w:ilvl w:val="0"/>
                <w:numId w:val="36"/>
              </w:numPr>
              <w:spacing w:before="120" w:after="120"/>
              <w:ind w:left="357" w:hanging="357"/>
              <w:contextualSpacing/>
              <w:rPr>
                <w:rFonts w:ascii="Arial" w:eastAsia="Times New Roman" w:hAnsi="Arial" w:cs="Arial"/>
                <w:color w:val="1A1A1A"/>
                <w:sz w:val="20"/>
                <w:szCs w:val="20"/>
                <w:lang w:val="en-US" w:eastAsia="en-GB"/>
              </w:rPr>
            </w:pPr>
            <w:r w:rsidRPr="00FF4661">
              <w:rPr>
                <w:rFonts w:ascii="Arial" w:eastAsia="Times New Roman" w:hAnsi="Arial" w:cs="Arial"/>
                <w:color w:val="1A1A1A"/>
                <w:sz w:val="20"/>
                <w:szCs w:val="20"/>
                <w:lang w:val="en-US" w:eastAsia="en-GB"/>
              </w:rPr>
              <w:t>Stomach pain</w:t>
            </w:r>
          </w:p>
          <w:p w14:paraId="50F47C82" w14:textId="77777777" w:rsidR="00E2566D" w:rsidRPr="00FF4661" w:rsidRDefault="00E2566D" w:rsidP="004C4D82">
            <w:pPr>
              <w:numPr>
                <w:ilvl w:val="0"/>
                <w:numId w:val="36"/>
              </w:numPr>
              <w:spacing w:before="120" w:after="120"/>
              <w:ind w:left="357" w:hanging="357"/>
              <w:contextualSpacing/>
              <w:rPr>
                <w:rFonts w:ascii="Arial" w:eastAsia="Times New Roman" w:hAnsi="Arial" w:cs="Arial"/>
                <w:color w:val="1A1A1A"/>
                <w:sz w:val="20"/>
                <w:szCs w:val="20"/>
                <w:lang w:val="en-US" w:eastAsia="en-GB"/>
              </w:rPr>
            </w:pPr>
            <w:r w:rsidRPr="00FF4661">
              <w:rPr>
                <w:rFonts w:ascii="Arial" w:eastAsia="Times New Roman" w:hAnsi="Arial" w:cs="Arial"/>
                <w:color w:val="1A1A1A"/>
                <w:sz w:val="20"/>
                <w:szCs w:val="20"/>
                <w:lang w:val="en-US" w:eastAsia="en-GB"/>
              </w:rPr>
              <w:t>Dizziness</w:t>
            </w:r>
          </w:p>
          <w:p w14:paraId="4E5978AB" w14:textId="77777777" w:rsidR="00E2566D" w:rsidRPr="00FF4661" w:rsidRDefault="00E2566D" w:rsidP="004C4D82">
            <w:pPr>
              <w:numPr>
                <w:ilvl w:val="0"/>
                <w:numId w:val="36"/>
              </w:numPr>
              <w:spacing w:before="120" w:after="120"/>
              <w:ind w:left="357" w:hanging="357"/>
              <w:contextualSpacing/>
              <w:rPr>
                <w:rFonts w:ascii="Arial" w:eastAsia="Times New Roman" w:hAnsi="Arial" w:cs="Arial"/>
                <w:color w:val="1A1A1A"/>
                <w:sz w:val="20"/>
                <w:szCs w:val="20"/>
                <w:lang w:val="en-US" w:eastAsia="en-GB"/>
              </w:rPr>
            </w:pPr>
            <w:r w:rsidRPr="00FF4661">
              <w:rPr>
                <w:rFonts w:ascii="Arial" w:eastAsia="Times New Roman" w:hAnsi="Arial" w:cs="Arial"/>
                <w:color w:val="1A1A1A"/>
                <w:sz w:val="20"/>
                <w:szCs w:val="20"/>
                <w:lang w:val="en-US" w:eastAsia="en-GB"/>
              </w:rPr>
              <w:t>Dry mouth</w:t>
            </w:r>
          </w:p>
          <w:p w14:paraId="5977121C" w14:textId="77777777" w:rsidR="00E2566D" w:rsidRPr="00FF4661" w:rsidRDefault="00E2566D" w:rsidP="004C4D82">
            <w:pPr>
              <w:numPr>
                <w:ilvl w:val="0"/>
                <w:numId w:val="36"/>
              </w:numPr>
              <w:spacing w:before="120" w:after="120"/>
              <w:ind w:left="357" w:hanging="357"/>
              <w:contextualSpacing/>
              <w:rPr>
                <w:rFonts w:ascii="Arial" w:eastAsia="Times New Roman" w:hAnsi="Arial" w:cs="Arial"/>
                <w:color w:val="1A1A1A"/>
                <w:sz w:val="20"/>
                <w:szCs w:val="20"/>
                <w:lang w:val="en-US" w:eastAsia="en-GB"/>
              </w:rPr>
            </w:pPr>
            <w:r w:rsidRPr="00FF4661">
              <w:rPr>
                <w:rFonts w:ascii="Arial" w:eastAsia="Times New Roman" w:hAnsi="Arial" w:cs="Arial"/>
                <w:color w:val="1A1A1A"/>
                <w:sz w:val="20"/>
                <w:szCs w:val="20"/>
                <w:lang w:val="en-US" w:eastAsia="en-GB"/>
              </w:rPr>
              <w:t>Irritability</w:t>
            </w:r>
          </w:p>
          <w:p w14:paraId="47FE9BC8" w14:textId="77777777" w:rsidR="00E2566D" w:rsidRPr="00E2566D" w:rsidRDefault="00E2566D" w:rsidP="004C4D82">
            <w:pPr>
              <w:numPr>
                <w:ilvl w:val="0"/>
                <w:numId w:val="36"/>
              </w:numPr>
              <w:spacing w:before="120" w:after="120"/>
              <w:ind w:left="357" w:hanging="357"/>
              <w:contextualSpacing/>
              <w:rPr>
                <w:rFonts w:ascii="Arial" w:hAnsi="Arial" w:cs="Arial"/>
                <w:sz w:val="20"/>
                <w:szCs w:val="20"/>
              </w:rPr>
            </w:pPr>
            <w:r w:rsidRPr="00FF4661">
              <w:rPr>
                <w:rFonts w:ascii="Arial" w:eastAsia="Times New Roman" w:hAnsi="Arial" w:cs="Arial"/>
                <w:color w:val="1A1A1A"/>
                <w:sz w:val="20"/>
                <w:szCs w:val="20"/>
                <w:lang w:val="en-US" w:eastAsia="en-GB"/>
              </w:rPr>
              <w:t>Vomiting</w:t>
            </w:r>
          </w:p>
          <w:p w14:paraId="0DAB18CF" w14:textId="77777777" w:rsidR="00007705" w:rsidRPr="00E2566D" w:rsidRDefault="00E2566D" w:rsidP="004C4D82">
            <w:pPr>
              <w:numPr>
                <w:ilvl w:val="0"/>
                <w:numId w:val="36"/>
              </w:numPr>
              <w:spacing w:before="120" w:after="120"/>
              <w:ind w:left="357" w:hanging="357"/>
              <w:contextualSpacing/>
              <w:rPr>
                <w:rFonts w:ascii="Arial" w:hAnsi="Arial" w:cs="Arial"/>
                <w:sz w:val="20"/>
                <w:szCs w:val="20"/>
              </w:rPr>
            </w:pPr>
            <w:r w:rsidRPr="00E2566D">
              <w:rPr>
                <w:rFonts w:ascii="Arial" w:eastAsia="Times New Roman" w:hAnsi="Arial" w:cs="Arial"/>
                <w:color w:val="1A1A1A"/>
                <w:sz w:val="20"/>
                <w:szCs w:val="20"/>
                <w:lang w:val="en-US" w:eastAsia="en-GB"/>
              </w:rPr>
              <w:t>Slow heart rate</w:t>
            </w:r>
          </w:p>
        </w:tc>
        <w:tc>
          <w:tcPr>
            <w:tcW w:w="2941" w:type="dxa"/>
            <w:shd w:val="clear" w:color="auto" w:fill="D9D9D9" w:themeFill="background1" w:themeFillShade="D9"/>
          </w:tcPr>
          <w:p w14:paraId="77E365CF" w14:textId="77777777" w:rsidR="00E2566D" w:rsidRPr="00FF4661" w:rsidRDefault="00E2566D" w:rsidP="004C4D82">
            <w:pPr>
              <w:pStyle w:val="ListParagraph"/>
              <w:numPr>
                <w:ilvl w:val="0"/>
                <w:numId w:val="36"/>
              </w:numPr>
              <w:spacing w:before="120" w:after="120" w:line="276" w:lineRule="auto"/>
              <w:ind w:left="360"/>
              <w:rPr>
                <w:rFonts w:ascii="Arial" w:hAnsi="Arial" w:cs="Arial"/>
                <w:sz w:val="20"/>
                <w:szCs w:val="20"/>
              </w:rPr>
            </w:pPr>
            <w:r w:rsidRPr="00FF4661">
              <w:rPr>
                <w:rFonts w:ascii="Arial" w:hAnsi="Arial" w:cs="Arial"/>
                <w:sz w:val="20"/>
                <w:szCs w:val="20"/>
              </w:rPr>
              <w:t xml:space="preserve">Medicines that lower blood pressure (antihypertensives) </w:t>
            </w:r>
          </w:p>
          <w:p w14:paraId="69C5A145" w14:textId="77777777" w:rsidR="00E2566D" w:rsidRPr="00FF4661" w:rsidRDefault="00E2566D" w:rsidP="004C4D82">
            <w:pPr>
              <w:pStyle w:val="ListParagraph"/>
              <w:numPr>
                <w:ilvl w:val="0"/>
                <w:numId w:val="36"/>
              </w:numPr>
              <w:spacing w:before="120" w:after="120" w:line="276" w:lineRule="auto"/>
              <w:ind w:left="360"/>
              <w:rPr>
                <w:rFonts w:ascii="Arial" w:hAnsi="Arial" w:cs="Arial"/>
                <w:sz w:val="20"/>
                <w:szCs w:val="20"/>
              </w:rPr>
            </w:pPr>
            <w:r w:rsidRPr="00FF4661">
              <w:rPr>
                <w:rFonts w:ascii="Arial" w:hAnsi="Arial" w:cs="Arial"/>
                <w:sz w:val="20"/>
                <w:szCs w:val="20"/>
              </w:rPr>
              <w:t xml:space="preserve">Medicines for epilepsy such as valproic acid </w:t>
            </w:r>
          </w:p>
          <w:p w14:paraId="5DC8C3A2" w14:textId="77777777" w:rsidR="00E2566D" w:rsidRPr="00FF4661" w:rsidRDefault="00E2566D" w:rsidP="004C4D82">
            <w:pPr>
              <w:pStyle w:val="ListParagraph"/>
              <w:numPr>
                <w:ilvl w:val="0"/>
                <w:numId w:val="36"/>
              </w:numPr>
              <w:spacing w:before="120" w:after="120" w:line="276" w:lineRule="auto"/>
              <w:ind w:left="360"/>
              <w:rPr>
                <w:rFonts w:ascii="Arial" w:hAnsi="Arial" w:cs="Arial"/>
                <w:sz w:val="20"/>
                <w:szCs w:val="20"/>
              </w:rPr>
            </w:pPr>
            <w:r w:rsidRPr="00FF4661">
              <w:rPr>
                <w:rFonts w:ascii="Arial" w:hAnsi="Arial" w:cs="Arial"/>
                <w:sz w:val="20"/>
                <w:szCs w:val="20"/>
              </w:rPr>
              <w:t>Sedatives</w:t>
            </w:r>
          </w:p>
          <w:p w14:paraId="7A060972" w14:textId="0837C670" w:rsidR="00E2566D" w:rsidRPr="00FF4661" w:rsidRDefault="00E2566D" w:rsidP="004C4D82">
            <w:pPr>
              <w:pStyle w:val="ListParagraph"/>
              <w:numPr>
                <w:ilvl w:val="0"/>
                <w:numId w:val="36"/>
              </w:numPr>
              <w:spacing w:before="120" w:after="120" w:line="276" w:lineRule="auto"/>
              <w:ind w:left="360"/>
              <w:rPr>
                <w:rFonts w:ascii="Arial" w:hAnsi="Arial" w:cs="Arial"/>
                <w:sz w:val="20"/>
                <w:szCs w:val="20"/>
              </w:rPr>
            </w:pPr>
            <w:r w:rsidRPr="00FF4661">
              <w:rPr>
                <w:rFonts w:ascii="Arial" w:hAnsi="Arial" w:cs="Arial"/>
                <w:sz w:val="20"/>
                <w:szCs w:val="20"/>
              </w:rPr>
              <w:t xml:space="preserve">Medicines for mental health problems (benzodiazepines, </w:t>
            </w:r>
            <w:r w:rsidR="002F75D0" w:rsidRPr="00FF4661">
              <w:rPr>
                <w:rFonts w:ascii="Arial" w:hAnsi="Arial" w:cs="Arial"/>
                <w:sz w:val="20"/>
                <w:szCs w:val="20"/>
              </w:rPr>
              <w:t>barbiturates,</w:t>
            </w:r>
            <w:r w:rsidRPr="00FF4661">
              <w:rPr>
                <w:rFonts w:ascii="Arial" w:hAnsi="Arial" w:cs="Arial"/>
                <w:sz w:val="20"/>
                <w:szCs w:val="20"/>
              </w:rPr>
              <w:t xml:space="preserve"> and antipsychotics) </w:t>
            </w:r>
          </w:p>
          <w:p w14:paraId="54A55452" w14:textId="77777777" w:rsidR="00E2566D" w:rsidRPr="00FF4661" w:rsidRDefault="00E2566D" w:rsidP="004C4D82">
            <w:pPr>
              <w:pStyle w:val="ListParagraph"/>
              <w:numPr>
                <w:ilvl w:val="0"/>
                <w:numId w:val="36"/>
              </w:numPr>
              <w:spacing w:before="120" w:after="120" w:line="276" w:lineRule="auto"/>
              <w:ind w:left="360"/>
              <w:rPr>
                <w:rFonts w:ascii="Arial" w:hAnsi="Arial" w:cs="Arial"/>
                <w:sz w:val="20"/>
                <w:szCs w:val="20"/>
              </w:rPr>
            </w:pPr>
            <w:r w:rsidRPr="00FF4661">
              <w:rPr>
                <w:rFonts w:ascii="Arial" w:hAnsi="Arial" w:cs="Arial"/>
                <w:sz w:val="20"/>
                <w:szCs w:val="20"/>
              </w:rPr>
              <w:t xml:space="preserve">Medicines that cause enzyme inhibition or induction </w:t>
            </w:r>
          </w:p>
          <w:p w14:paraId="65A0BC02" w14:textId="77777777" w:rsidR="00007705" w:rsidRPr="00FF4661" w:rsidRDefault="00007705" w:rsidP="004C4D82">
            <w:pPr>
              <w:pStyle w:val="ListParagraph"/>
              <w:spacing w:before="120" w:after="120"/>
              <w:ind w:left="360"/>
              <w:rPr>
                <w:rFonts w:ascii="Arial" w:hAnsi="Arial" w:cs="Arial"/>
                <w:sz w:val="20"/>
                <w:szCs w:val="20"/>
              </w:rPr>
            </w:pPr>
          </w:p>
        </w:tc>
      </w:tr>
    </w:tbl>
    <w:p w14:paraId="1DA9898C" w14:textId="77777777" w:rsidR="00EF0CAE" w:rsidRPr="00492079" w:rsidRDefault="00EF0CAE" w:rsidP="004C4D82">
      <w:pPr>
        <w:pStyle w:val="ListParagraph"/>
        <w:spacing w:before="120" w:after="120" w:line="240" w:lineRule="auto"/>
        <w:ind w:left="0"/>
        <w:rPr>
          <w:rFonts w:ascii="Arial" w:hAnsi="Arial" w:cs="Arial"/>
          <w:b/>
          <w:color w:val="0070C0"/>
        </w:rPr>
      </w:pPr>
    </w:p>
    <w:sectPr w:rsidR="00EF0CAE" w:rsidRPr="00492079" w:rsidSect="00FF4661">
      <w:footerReference w:type="default" r:id="rId18"/>
      <w:pgSz w:w="11906" w:h="16838" w:code="9"/>
      <w:pgMar w:top="720" w:right="851" w:bottom="720" w:left="992"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079B" w14:textId="77777777" w:rsidR="00851928" w:rsidRDefault="00851928" w:rsidP="008C2314">
      <w:pPr>
        <w:spacing w:after="0" w:line="240" w:lineRule="auto"/>
      </w:pPr>
      <w:r>
        <w:separator/>
      </w:r>
    </w:p>
  </w:endnote>
  <w:endnote w:type="continuationSeparator" w:id="0">
    <w:p w14:paraId="710656EA" w14:textId="77777777" w:rsidR="00851928" w:rsidRDefault="00851928" w:rsidP="008C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4BC5" w14:textId="6AC1BA78" w:rsidR="00C15084" w:rsidRPr="00C15084" w:rsidRDefault="00264AF0" w:rsidP="00C15084">
    <w:pPr>
      <w:pStyle w:val="Footer"/>
      <w:spacing w:before="120"/>
      <w:rPr>
        <w:rFonts w:ascii="Arial" w:hAnsi="Arial" w:cs="Arial"/>
      </w:rPr>
    </w:pPr>
    <w:r w:rsidRPr="00C15084">
      <w:rPr>
        <w:rFonts w:ascii="Arial" w:hAnsi="Arial" w:cs="Arial"/>
        <w:noProof/>
        <w:lang w:eastAsia="en-GB"/>
      </w:rPr>
      <mc:AlternateContent>
        <mc:Choice Requires="wps">
          <w:drawing>
            <wp:anchor distT="0" distB="0" distL="114300" distR="114300" simplePos="0" relativeHeight="251657216" behindDoc="0" locked="0" layoutInCell="1" allowOverlap="1" wp14:anchorId="27B28AAE" wp14:editId="077F0E8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C0B7D70" w14:textId="77777777" w:rsidR="00264AF0" w:rsidRPr="00C15084" w:rsidRDefault="00264AF0">
                          <w:pPr>
                            <w:pStyle w:val="Footer"/>
                            <w:jc w:val="right"/>
                            <w:rPr>
                              <w:rFonts w:ascii="Arial" w:hAnsi="Arial" w:cs="Arial"/>
                              <w:color w:val="000000" w:themeColor="text1"/>
                              <w:sz w:val="16"/>
                              <w:szCs w:val="16"/>
                            </w:rPr>
                          </w:pPr>
                          <w:r w:rsidRPr="00C15084">
                            <w:rPr>
                              <w:rFonts w:ascii="Arial" w:hAnsi="Arial" w:cs="Arial"/>
                              <w:color w:val="000000" w:themeColor="text1"/>
                            </w:rPr>
                            <w:fldChar w:fldCharType="begin"/>
                          </w:r>
                          <w:r w:rsidRPr="00C15084">
                            <w:rPr>
                              <w:rFonts w:ascii="Arial" w:hAnsi="Arial" w:cs="Arial"/>
                              <w:color w:val="000000" w:themeColor="text1"/>
                            </w:rPr>
                            <w:instrText xml:space="preserve"> PAGE  \* Arabic  \* MERGEFORMAT </w:instrText>
                          </w:r>
                          <w:r w:rsidRPr="00C15084">
                            <w:rPr>
                              <w:rFonts w:ascii="Arial" w:hAnsi="Arial" w:cs="Arial"/>
                              <w:color w:val="000000" w:themeColor="text1"/>
                            </w:rPr>
                            <w:fldChar w:fldCharType="separate"/>
                          </w:r>
                          <w:r w:rsidR="00D64494" w:rsidRPr="00C15084">
                            <w:rPr>
                              <w:rFonts w:ascii="Arial" w:hAnsi="Arial" w:cs="Arial"/>
                              <w:noProof/>
                              <w:color w:val="000000" w:themeColor="text1"/>
                            </w:rPr>
                            <w:t>9</w:t>
                          </w:r>
                          <w:r w:rsidRPr="00C15084">
                            <w:rPr>
                              <w:rFonts w:ascii="Arial" w:hAnsi="Arial" w:cs="Arial"/>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B28AAE" id="_x0000_t202" coordsize="21600,21600" o:spt="202" path="m,l,21600r21600,l21600,xe">
              <v:stroke joinstyle="miter"/>
              <v:path gradientshapeok="t" o:connecttype="rect"/>
            </v:shapetype>
            <v:shape id="Text Box 56" o:spid="_x0000_s1026" type="#_x0000_t202" style="position:absolute;margin-left:67.6pt;margin-top:0;width:118.8pt;height:31.15pt;z-index:25165721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C0B7D70" w14:textId="77777777" w:rsidR="00264AF0" w:rsidRPr="00C15084" w:rsidRDefault="00264AF0">
                    <w:pPr>
                      <w:pStyle w:val="Footer"/>
                      <w:jc w:val="right"/>
                      <w:rPr>
                        <w:rFonts w:ascii="Arial" w:hAnsi="Arial" w:cs="Arial"/>
                        <w:color w:val="000000" w:themeColor="text1"/>
                        <w:sz w:val="16"/>
                        <w:szCs w:val="16"/>
                      </w:rPr>
                    </w:pPr>
                    <w:r w:rsidRPr="00C15084">
                      <w:rPr>
                        <w:rFonts w:ascii="Arial" w:hAnsi="Arial" w:cs="Arial"/>
                        <w:color w:val="000000" w:themeColor="text1"/>
                      </w:rPr>
                      <w:fldChar w:fldCharType="begin"/>
                    </w:r>
                    <w:r w:rsidRPr="00C15084">
                      <w:rPr>
                        <w:rFonts w:ascii="Arial" w:hAnsi="Arial" w:cs="Arial"/>
                        <w:color w:val="000000" w:themeColor="text1"/>
                      </w:rPr>
                      <w:instrText xml:space="preserve"> PAGE  \* Arabic  \* MERGEFORMAT </w:instrText>
                    </w:r>
                    <w:r w:rsidRPr="00C15084">
                      <w:rPr>
                        <w:rFonts w:ascii="Arial" w:hAnsi="Arial" w:cs="Arial"/>
                        <w:color w:val="000000" w:themeColor="text1"/>
                      </w:rPr>
                      <w:fldChar w:fldCharType="separate"/>
                    </w:r>
                    <w:r w:rsidR="00D64494" w:rsidRPr="00C15084">
                      <w:rPr>
                        <w:rFonts w:ascii="Arial" w:hAnsi="Arial" w:cs="Arial"/>
                        <w:noProof/>
                        <w:color w:val="000000" w:themeColor="text1"/>
                      </w:rPr>
                      <w:t>9</w:t>
                    </w:r>
                    <w:r w:rsidRPr="00C15084">
                      <w:rPr>
                        <w:rFonts w:ascii="Arial" w:hAnsi="Arial" w:cs="Arial"/>
                        <w:color w:val="000000" w:themeColor="text1"/>
                      </w:rPr>
                      <w:fldChar w:fldCharType="end"/>
                    </w:r>
                  </w:p>
                </w:txbxContent>
              </v:textbox>
              <w10:wrap anchorx="margin" anchory="margin"/>
            </v:shape>
          </w:pict>
        </mc:Fallback>
      </mc:AlternateContent>
    </w:r>
    <w:r w:rsidRPr="00C15084">
      <w:rPr>
        <w:rFonts w:ascii="Arial" w:hAnsi="Arial" w:cs="Arial"/>
        <w:noProof/>
        <w:color w:val="4F81BD" w:themeColor="accent1"/>
        <w:lang w:eastAsia="en-GB"/>
      </w:rPr>
      <mc:AlternateContent>
        <mc:Choice Requires="wps">
          <w:drawing>
            <wp:anchor distT="91440" distB="91440" distL="114300" distR="114300" simplePos="0" relativeHeight="251677696" behindDoc="1" locked="0" layoutInCell="1" allowOverlap="1" wp14:anchorId="305D184D" wp14:editId="7E7A11D8">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A91D45B" id="Rectangle 58" o:spid="_x0000_s1026" style="position:absolute;margin-left:0;margin-top:0;width:468pt;height:2.85pt;z-index:-25163878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r w:rsidR="00C15084" w:rsidRPr="00C15084">
      <w:rPr>
        <w:rFonts w:ascii="Arial" w:hAnsi="Arial" w:cs="Arial"/>
      </w:rPr>
      <w:t xml:space="preserve">LAST REVIEWED </w:t>
    </w:r>
    <w:r w:rsidR="00AF64D2">
      <w:rPr>
        <w:rFonts w:ascii="Arial" w:hAnsi="Arial" w:cs="Arial"/>
      </w:rPr>
      <w:t>JUNE 2023</w:t>
    </w:r>
  </w:p>
  <w:p w14:paraId="6D72E496" w14:textId="6B4F073E" w:rsidR="00C15084" w:rsidRPr="00C15084" w:rsidRDefault="00C15084">
    <w:pPr>
      <w:pStyle w:val="Footer"/>
      <w:rPr>
        <w:rFonts w:ascii="Arial" w:hAnsi="Arial" w:cs="Arial"/>
      </w:rPr>
    </w:pPr>
    <w:r w:rsidRPr="00C15084">
      <w:rPr>
        <w:rFonts w:ascii="Arial" w:hAnsi="Arial" w:cs="Arial"/>
      </w:rPr>
      <w:t xml:space="preserve">DUE FOR REVIEW </w:t>
    </w:r>
    <w:r w:rsidR="00AF64D2">
      <w:rPr>
        <w:rFonts w:ascii="Arial" w:hAnsi="Arial" w:cs="Arial"/>
      </w:rPr>
      <w:t>JUNE 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D354" w14:textId="77777777" w:rsidR="00C01C47" w:rsidRPr="00C15084" w:rsidRDefault="00C01C47" w:rsidP="00C15084">
    <w:pPr>
      <w:pStyle w:val="Footer"/>
      <w:spacing w:before="120"/>
      <w:rPr>
        <w:rFonts w:ascii="Arial" w:hAnsi="Arial" w:cs="Arial"/>
      </w:rPr>
    </w:pPr>
    <w:r w:rsidRPr="00C15084">
      <w:rPr>
        <w:rFonts w:ascii="Arial" w:hAnsi="Arial" w:cs="Arial"/>
        <w:noProof/>
        <w:lang w:eastAsia="en-GB"/>
      </w:rPr>
      <mc:AlternateContent>
        <mc:Choice Requires="wps">
          <w:drawing>
            <wp:anchor distT="0" distB="0" distL="114300" distR="114300" simplePos="0" relativeHeight="251679744" behindDoc="0" locked="0" layoutInCell="1" allowOverlap="1" wp14:anchorId="6110BA14" wp14:editId="59BF6FD3">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12F59E16" w14:textId="77777777" w:rsidR="00C01C47" w:rsidRPr="00C15084" w:rsidRDefault="00C01C47">
                          <w:pPr>
                            <w:pStyle w:val="Footer"/>
                            <w:jc w:val="right"/>
                            <w:rPr>
                              <w:rFonts w:ascii="Arial" w:hAnsi="Arial" w:cs="Arial"/>
                              <w:color w:val="000000" w:themeColor="text1"/>
                              <w:sz w:val="16"/>
                              <w:szCs w:val="16"/>
                            </w:rPr>
                          </w:pPr>
                          <w:r w:rsidRPr="00C15084">
                            <w:rPr>
                              <w:rFonts w:ascii="Arial" w:hAnsi="Arial" w:cs="Arial"/>
                              <w:color w:val="000000" w:themeColor="text1"/>
                            </w:rPr>
                            <w:fldChar w:fldCharType="begin"/>
                          </w:r>
                          <w:r w:rsidRPr="00C15084">
                            <w:rPr>
                              <w:rFonts w:ascii="Arial" w:hAnsi="Arial" w:cs="Arial"/>
                              <w:color w:val="000000" w:themeColor="text1"/>
                            </w:rPr>
                            <w:instrText xml:space="preserve"> PAGE  \* Arabic  \* MERGEFORMAT </w:instrText>
                          </w:r>
                          <w:r w:rsidRPr="00C15084">
                            <w:rPr>
                              <w:rFonts w:ascii="Arial" w:hAnsi="Arial" w:cs="Arial"/>
                              <w:color w:val="000000" w:themeColor="text1"/>
                            </w:rPr>
                            <w:fldChar w:fldCharType="separate"/>
                          </w:r>
                          <w:r w:rsidRPr="00C15084">
                            <w:rPr>
                              <w:rFonts w:ascii="Arial" w:hAnsi="Arial" w:cs="Arial"/>
                              <w:noProof/>
                              <w:color w:val="000000" w:themeColor="text1"/>
                            </w:rPr>
                            <w:t>9</w:t>
                          </w:r>
                          <w:r w:rsidRPr="00C15084">
                            <w:rPr>
                              <w:rFonts w:ascii="Arial" w:hAnsi="Arial" w:cs="Arial"/>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110BA14" id="_x0000_t202" coordsize="21600,21600" o:spt="202" path="m,l,21600r21600,l21600,xe">
              <v:stroke joinstyle="miter"/>
              <v:path gradientshapeok="t" o:connecttype="rect"/>
            </v:shapetype>
            <v:shape id="Text Box 1" o:spid="_x0000_s1027" type="#_x0000_t202" style="position:absolute;margin-left:67.6pt;margin-top:0;width:118.8pt;height:31.15pt;z-index:25167974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12F59E16" w14:textId="77777777" w:rsidR="00C01C47" w:rsidRPr="00C15084" w:rsidRDefault="00C01C47">
                    <w:pPr>
                      <w:pStyle w:val="Footer"/>
                      <w:jc w:val="right"/>
                      <w:rPr>
                        <w:rFonts w:ascii="Arial" w:hAnsi="Arial" w:cs="Arial"/>
                        <w:color w:val="000000" w:themeColor="text1"/>
                        <w:sz w:val="16"/>
                        <w:szCs w:val="16"/>
                      </w:rPr>
                    </w:pPr>
                    <w:r w:rsidRPr="00C15084">
                      <w:rPr>
                        <w:rFonts w:ascii="Arial" w:hAnsi="Arial" w:cs="Arial"/>
                        <w:color w:val="000000" w:themeColor="text1"/>
                      </w:rPr>
                      <w:fldChar w:fldCharType="begin"/>
                    </w:r>
                    <w:r w:rsidRPr="00C15084">
                      <w:rPr>
                        <w:rFonts w:ascii="Arial" w:hAnsi="Arial" w:cs="Arial"/>
                        <w:color w:val="000000" w:themeColor="text1"/>
                      </w:rPr>
                      <w:instrText xml:space="preserve"> PAGE  \* Arabic  \* MERGEFORMAT </w:instrText>
                    </w:r>
                    <w:r w:rsidRPr="00C15084">
                      <w:rPr>
                        <w:rFonts w:ascii="Arial" w:hAnsi="Arial" w:cs="Arial"/>
                        <w:color w:val="000000" w:themeColor="text1"/>
                      </w:rPr>
                      <w:fldChar w:fldCharType="separate"/>
                    </w:r>
                    <w:r w:rsidRPr="00C15084">
                      <w:rPr>
                        <w:rFonts w:ascii="Arial" w:hAnsi="Arial" w:cs="Arial"/>
                        <w:noProof/>
                        <w:color w:val="000000" w:themeColor="text1"/>
                      </w:rPr>
                      <w:t>9</w:t>
                    </w:r>
                    <w:r w:rsidRPr="00C15084">
                      <w:rPr>
                        <w:rFonts w:ascii="Arial" w:hAnsi="Arial" w:cs="Arial"/>
                        <w:color w:val="000000" w:themeColor="text1"/>
                      </w:rPr>
                      <w:fldChar w:fldCharType="end"/>
                    </w:r>
                  </w:p>
                </w:txbxContent>
              </v:textbox>
              <w10:wrap anchorx="margin" anchory="margin"/>
            </v:shape>
          </w:pict>
        </mc:Fallback>
      </mc:AlternateContent>
    </w:r>
    <w:r w:rsidRPr="00C15084">
      <w:rPr>
        <w:rFonts w:ascii="Arial" w:hAnsi="Arial" w:cs="Arial"/>
        <w:noProof/>
        <w:color w:val="4F81BD" w:themeColor="accent1"/>
        <w:lang w:eastAsia="en-GB"/>
      </w:rPr>
      <mc:AlternateContent>
        <mc:Choice Requires="wps">
          <w:drawing>
            <wp:anchor distT="91440" distB="91440" distL="114300" distR="114300" simplePos="0" relativeHeight="251680768" behindDoc="1" locked="0" layoutInCell="1" allowOverlap="1" wp14:anchorId="2031D456" wp14:editId="32ABA330">
              <wp:simplePos x="0" y="0"/>
              <wp:positionH relativeFrom="margin">
                <wp:align>center</wp:align>
              </wp:positionH>
              <wp:positionV relativeFrom="bottomMargin">
                <wp:align>top</wp:align>
              </wp:positionV>
              <wp:extent cx="5943600" cy="36195"/>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41C978E" id="Rectangle 3" o:spid="_x0000_s1026" style="position:absolute;margin-left:0;margin-top:0;width:468pt;height:2.85pt;z-index:-25163571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r w:rsidRPr="00C15084">
      <w:rPr>
        <w:rFonts w:ascii="Arial" w:hAnsi="Arial" w:cs="Arial"/>
      </w:rPr>
      <w:t xml:space="preserve">LAST REVIEWED </w:t>
    </w:r>
    <w:r>
      <w:rPr>
        <w:rFonts w:ascii="Arial" w:hAnsi="Arial" w:cs="Arial"/>
      </w:rPr>
      <w:t>JUNE 2023</w:t>
    </w:r>
  </w:p>
  <w:p w14:paraId="571523F1" w14:textId="77777777" w:rsidR="00C01C47" w:rsidRPr="00C15084" w:rsidRDefault="00C01C47">
    <w:pPr>
      <w:pStyle w:val="Footer"/>
      <w:rPr>
        <w:rFonts w:ascii="Arial" w:hAnsi="Arial" w:cs="Arial"/>
      </w:rPr>
    </w:pPr>
    <w:r w:rsidRPr="00C15084">
      <w:rPr>
        <w:rFonts w:ascii="Arial" w:hAnsi="Arial" w:cs="Arial"/>
      </w:rPr>
      <w:t xml:space="preserve">DUE FOR REVIEW </w:t>
    </w:r>
    <w:r>
      <w:rPr>
        <w:rFonts w:ascii="Arial" w:hAnsi="Arial" w:cs="Arial"/>
      </w:rPr>
      <w:t>JUNE 2026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D62E" w14:textId="77777777" w:rsidR="00C01C47" w:rsidRPr="00C15084" w:rsidRDefault="00C01C47" w:rsidP="00C15084">
    <w:pPr>
      <w:pStyle w:val="Footer"/>
      <w:spacing w:before="120"/>
      <w:rPr>
        <w:rFonts w:ascii="Arial" w:hAnsi="Arial" w:cs="Arial"/>
      </w:rPr>
    </w:pPr>
    <w:r w:rsidRPr="00C15084">
      <w:rPr>
        <w:rFonts w:ascii="Arial" w:hAnsi="Arial" w:cs="Arial"/>
        <w:noProof/>
        <w:lang w:eastAsia="en-GB"/>
      </w:rPr>
      <mc:AlternateContent>
        <mc:Choice Requires="wps">
          <w:drawing>
            <wp:anchor distT="0" distB="0" distL="114300" distR="114300" simplePos="0" relativeHeight="251682816" behindDoc="0" locked="0" layoutInCell="1" allowOverlap="1" wp14:anchorId="42E5ABF5" wp14:editId="0002A9A1">
              <wp:simplePos x="0" y="0"/>
              <wp:positionH relativeFrom="margin">
                <wp:align>right</wp:align>
              </wp:positionH>
              <wp:positionV relativeFrom="bottomMargin">
                <wp:align>top</wp:align>
              </wp:positionV>
              <wp:extent cx="1508760" cy="3956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AFA82F0" w14:textId="77777777" w:rsidR="00C01C47" w:rsidRPr="00C15084" w:rsidRDefault="00C01C47">
                          <w:pPr>
                            <w:pStyle w:val="Footer"/>
                            <w:jc w:val="right"/>
                            <w:rPr>
                              <w:rFonts w:ascii="Arial" w:hAnsi="Arial" w:cs="Arial"/>
                              <w:color w:val="000000" w:themeColor="text1"/>
                              <w:sz w:val="16"/>
                              <w:szCs w:val="16"/>
                            </w:rPr>
                          </w:pPr>
                          <w:r w:rsidRPr="00C15084">
                            <w:rPr>
                              <w:rFonts w:ascii="Arial" w:hAnsi="Arial" w:cs="Arial"/>
                              <w:color w:val="000000" w:themeColor="text1"/>
                            </w:rPr>
                            <w:fldChar w:fldCharType="begin"/>
                          </w:r>
                          <w:r w:rsidRPr="00C15084">
                            <w:rPr>
                              <w:rFonts w:ascii="Arial" w:hAnsi="Arial" w:cs="Arial"/>
                              <w:color w:val="000000" w:themeColor="text1"/>
                            </w:rPr>
                            <w:instrText xml:space="preserve"> PAGE  \* Arabic  \* MERGEFORMAT </w:instrText>
                          </w:r>
                          <w:r w:rsidRPr="00C15084">
                            <w:rPr>
                              <w:rFonts w:ascii="Arial" w:hAnsi="Arial" w:cs="Arial"/>
                              <w:color w:val="000000" w:themeColor="text1"/>
                            </w:rPr>
                            <w:fldChar w:fldCharType="separate"/>
                          </w:r>
                          <w:r w:rsidRPr="00C15084">
                            <w:rPr>
                              <w:rFonts w:ascii="Arial" w:hAnsi="Arial" w:cs="Arial"/>
                              <w:noProof/>
                              <w:color w:val="000000" w:themeColor="text1"/>
                            </w:rPr>
                            <w:t>9</w:t>
                          </w:r>
                          <w:r w:rsidRPr="00C15084">
                            <w:rPr>
                              <w:rFonts w:ascii="Arial" w:hAnsi="Arial" w:cs="Arial"/>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2E5ABF5" id="_x0000_t202" coordsize="21600,21600" o:spt="202" path="m,l,21600r21600,l21600,xe">
              <v:stroke joinstyle="miter"/>
              <v:path gradientshapeok="t" o:connecttype="rect"/>
            </v:shapetype>
            <v:shape id="Text Box 4" o:spid="_x0000_s1028" type="#_x0000_t202" style="position:absolute;margin-left:67.6pt;margin-top:0;width:118.8pt;height:31.15pt;z-index:25168281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6AFA82F0" w14:textId="77777777" w:rsidR="00C01C47" w:rsidRPr="00C15084" w:rsidRDefault="00C01C47">
                    <w:pPr>
                      <w:pStyle w:val="Footer"/>
                      <w:jc w:val="right"/>
                      <w:rPr>
                        <w:rFonts w:ascii="Arial" w:hAnsi="Arial" w:cs="Arial"/>
                        <w:color w:val="000000" w:themeColor="text1"/>
                        <w:sz w:val="16"/>
                        <w:szCs w:val="16"/>
                      </w:rPr>
                    </w:pPr>
                    <w:r w:rsidRPr="00C15084">
                      <w:rPr>
                        <w:rFonts w:ascii="Arial" w:hAnsi="Arial" w:cs="Arial"/>
                        <w:color w:val="000000" w:themeColor="text1"/>
                      </w:rPr>
                      <w:fldChar w:fldCharType="begin"/>
                    </w:r>
                    <w:r w:rsidRPr="00C15084">
                      <w:rPr>
                        <w:rFonts w:ascii="Arial" w:hAnsi="Arial" w:cs="Arial"/>
                        <w:color w:val="000000" w:themeColor="text1"/>
                      </w:rPr>
                      <w:instrText xml:space="preserve"> PAGE  \* Arabic  \* MERGEFORMAT </w:instrText>
                    </w:r>
                    <w:r w:rsidRPr="00C15084">
                      <w:rPr>
                        <w:rFonts w:ascii="Arial" w:hAnsi="Arial" w:cs="Arial"/>
                        <w:color w:val="000000" w:themeColor="text1"/>
                      </w:rPr>
                      <w:fldChar w:fldCharType="separate"/>
                    </w:r>
                    <w:r w:rsidRPr="00C15084">
                      <w:rPr>
                        <w:rFonts w:ascii="Arial" w:hAnsi="Arial" w:cs="Arial"/>
                        <w:noProof/>
                        <w:color w:val="000000" w:themeColor="text1"/>
                      </w:rPr>
                      <w:t>9</w:t>
                    </w:r>
                    <w:r w:rsidRPr="00C15084">
                      <w:rPr>
                        <w:rFonts w:ascii="Arial" w:hAnsi="Arial" w:cs="Arial"/>
                        <w:color w:val="000000" w:themeColor="text1"/>
                      </w:rPr>
                      <w:fldChar w:fldCharType="end"/>
                    </w:r>
                  </w:p>
                </w:txbxContent>
              </v:textbox>
              <w10:wrap anchorx="margin" anchory="margin"/>
            </v:shape>
          </w:pict>
        </mc:Fallback>
      </mc:AlternateContent>
    </w:r>
    <w:r w:rsidRPr="00C15084">
      <w:rPr>
        <w:rFonts w:ascii="Arial" w:hAnsi="Arial" w:cs="Arial"/>
        <w:noProof/>
        <w:color w:val="4F81BD" w:themeColor="accent1"/>
        <w:lang w:eastAsia="en-GB"/>
      </w:rPr>
      <mc:AlternateContent>
        <mc:Choice Requires="wps">
          <w:drawing>
            <wp:anchor distT="91440" distB="91440" distL="114300" distR="114300" simplePos="0" relativeHeight="251683840" behindDoc="1" locked="0" layoutInCell="1" allowOverlap="1" wp14:anchorId="01322DE1" wp14:editId="7D16C08A">
              <wp:simplePos x="0" y="0"/>
              <wp:positionH relativeFrom="margin">
                <wp:align>center</wp:align>
              </wp:positionH>
              <wp:positionV relativeFrom="bottomMargin">
                <wp:align>top</wp:align>
              </wp:positionV>
              <wp:extent cx="5943600" cy="36195"/>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F32ECA7" id="Rectangle 5" o:spid="_x0000_s1026" style="position:absolute;margin-left:0;margin-top:0;width:468pt;height:2.85pt;z-index:-25163264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r w:rsidRPr="00C15084">
      <w:rPr>
        <w:rFonts w:ascii="Arial" w:hAnsi="Arial" w:cs="Arial"/>
      </w:rPr>
      <w:t xml:space="preserve">LAST REVIEWED </w:t>
    </w:r>
    <w:r>
      <w:rPr>
        <w:rFonts w:ascii="Arial" w:hAnsi="Arial" w:cs="Arial"/>
      </w:rPr>
      <w:t>JUNE 2023</w:t>
    </w:r>
  </w:p>
  <w:p w14:paraId="488574FB" w14:textId="77777777" w:rsidR="00C01C47" w:rsidRPr="00C15084" w:rsidRDefault="00C01C47">
    <w:pPr>
      <w:pStyle w:val="Footer"/>
      <w:rPr>
        <w:rFonts w:ascii="Arial" w:hAnsi="Arial" w:cs="Arial"/>
      </w:rPr>
    </w:pPr>
    <w:r w:rsidRPr="00C15084">
      <w:rPr>
        <w:rFonts w:ascii="Arial" w:hAnsi="Arial" w:cs="Arial"/>
      </w:rPr>
      <w:t xml:space="preserve">DUE FOR REVIEW </w:t>
    </w:r>
    <w:r>
      <w:rPr>
        <w:rFonts w:ascii="Arial" w:hAnsi="Arial" w:cs="Arial"/>
      </w:rPr>
      <w:t>JUNE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779C" w14:textId="77777777" w:rsidR="00851928" w:rsidRDefault="00851928" w:rsidP="008C2314">
      <w:pPr>
        <w:spacing w:after="0" w:line="240" w:lineRule="auto"/>
      </w:pPr>
      <w:r>
        <w:separator/>
      </w:r>
    </w:p>
  </w:footnote>
  <w:footnote w:type="continuationSeparator" w:id="0">
    <w:p w14:paraId="1E0057B3" w14:textId="77777777" w:rsidR="00851928" w:rsidRDefault="00851928" w:rsidP="008C2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D54"/>
    <w:multiLevelType w:val="hybridMultilevel"/>
    <w:tmpl w:val="BF2EC8CC"/>
    <w:lvl w:ilvl="0" w:tplc="08090001">
      <w:start w:val="1"/>
      <w:numFmt w:val="bullet"/>
      <w:lvlText w:val=""/>
      <w:lvlJc w:val="left"/>
      <w:pPr>
        <w:ind w:left="360" w:hanging="360"/>
      </w:pPr>
      <w:rPr>
        <w:rFonts w:ascii="Symbol" w:hAnsi="Symbol" w:hint="default"/>
      </w:rPr>
    </w:lvl>
    <w:lvl w:ilvl="1" w:tplc="C952F85A">
      <w:start w:val="1"/>
      <w:numFmt w:val="bullet"/>
      <w:lvlText w:val="o"/>
      <w:lvlJc w:val="left"/>
      <w:pPr>
        <w:ind w:left="1080" w:hanging="360"/>
      </w:pPr>
      <w:rPr>
        <w:rFonts w:ascii="Courier New" w:hAnsi="Courier New" w:cs="Courier New" w:hint="default"/>
        <w:color w:val="000000" w:themeColor="text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97E15"/>
    <w:multiLevelType w:val="hybridMultilevel"/>
    <w:tmpl w:val="79867C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A55AB7"/>
    <w:multiLevelType w:val="hybridMultilevel"/>
    <w:tmpl w:val="B1B4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36093"/>
    <w:multiLevelType w:val="hybridMultilevel"/>
    <w:tmpl w:val="5D5C16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F5671F"/>
    <w:multiLevelType w:val="hybridMultilevel"/>
    <w:tmpl w:val="6EC4B7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84CFD"/>
    <w:multiLevelType w:val="multilevel"/>
    <w:tmpl w:val="9790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E7B81"/>
    <w:multiLevelType w:val="hybridMultilevel"/>
    <w:tmpl w:val="55DE8C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C1DA5"/>
    <w:multiLevelType w:val="hybridMultilevel"/>
    <w:tmpl w:val="04E2A5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465DA9"/>
    <w:multiLevelType w:val="hybridMultilevel"/>
    <w:tmpl w:val="BCFA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47011"/>
    <w:multiLevelType w:val="hybridMultilevel"/>
    <w:tmpl w:val="79D20086"/>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0" w15:restartNumberingAfterBreak="0">
    <w:nsid w:val="22F71588"/>
    <w:multiLevelType w:val="hybridMultilevel"/>
    <w:tmpl w:val="66A8AE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3E6CE3"/>
    <w:multiLevelType w:val="hybridMultilevel"/>
    <w:tmpl w:val="353832D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F570D"/>
    <w:multiLevelType w:val="hybridMultilevel"/>
    <w:tmpl w:val="AEB6F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0129EA"/>
    <w:multiLevelType w:val="hybridMultilevel"/>
    <w:tmpl w:val="4298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F0936"/>
    <w:multiLevelType w:val="hybridMultilevel"/>
    <w:tmpl w:val="FDA66D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2BB75C9"/>
    <w:multiLevelType w:val="hybridMultilevel"/>
    <w:tmpl w:val="DC321178"/>
    <w:lvl w:ilvl="0" w:tplc="286AB210">
      <w:start w:val="3"/>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14E68"/>
    <w:multiLevelType w:val="hybridMultilevel"/>
    <w:tmpl w:val="47D6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B1812"/>
    <w:multiLevelType w:val="hybridMultilevel"/>
    <w:tmpl w:val="1228F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058DF"/>
    <w:multiLevelType w:val="hybridMultilevel"/>
    <w:tmpl w:val="31FABF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B100C"/>
    <w:multiLevelType w:val="hybridMultilevel"/>
    <w:tmpl w:val="9014E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EA63381"/>
    <w:multiLevelType w:val="multilevel"/>
    <w:tmpl w:val="4D62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6F169D"/>
    <w:multiLevelType w:val="hybridMultilevel"/>
    <w:tmpl w:val="7C902A1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BAE1D56"/>
    <w:multiLevelType w:val="hybridMultilevel"/>
    <w:tmpl w:val="60AAC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CA21F10"/>
    <w:multiLevelType w:val="hybridMultilevel"/>
    <w:tmpl w:val="D7C2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442E6"/>
    <w:multiLevelType w:val="hybridMultilevel"/>
    <w:tmpl w:val="5276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7976FA"/>
    <w:multiLevelType w:val="hybridMultilevel"/>
    <w:tmpl w:val="4C62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64AB3"/>
    <w:multiLevelType w:val="hybridMultilevel"/>
    <w:tmpl w:val="DA42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085A08"/>
    <w:multiLevelType w:val="hybridMultilevel"/>
    <w:tmpl w:val="756A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541BA4"/>
    <w:multiLevelType w:val="hybridMultilevel"/>
    <w:tmpl w:val="43DA9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E262DF"/>
    <w:multiLevelType w:val="hybridMultilevel"/>
    <w:tmpl w:val="9C3414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9264E2"/>
    <w:multiLevelType w:val="hybridMultilevel"/>
    <w:tmpl w:val="F2B47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535816"/>
    <w:multiLevelType w:val="hybridMultilevel"/>
    <w:tmpl w:val="0ED6888A"/>
    <w:lvl w:ilvl="0" w:tplc="3EBC0E92">
      <w:start w:val="1"/>
      <w:numFmt w:val="decimal"/>
      <w:lvlText w:val="%1."/>
      <w:lvlJc w:val="left"/>
      <w:pPr>
        <w:ind w:left="502" w:hanging="360"/>
      </w:pPr>
      <w:rPr>
        <w:b/>
      </w:rPr>
    </w:lvl>
    <w:lvl w:ilvl="1" w:tplc="391C7506">
      <w:numFmt w:val="bullet"/>
      <w:lvlText w:val="•"/>
      <w:lvlJc w:val="left"/>
      <w:pPr>
        <w:ind w:left="1222" w:hanging="360"/>
      </w:pPr>
      <w:rPr>
        <w:rFonts w:ascii="Arial" w:eastAsiaTheme="minorHAnsi" w:hAnsi="Arial" w:cs="Arial" w:hint="default"/>
      </w:rPr>
    </w:lvl>
    <w:lvl w:ilvl="2" w:tplc="CA7A4872">
      <w:start w:val="1"/>
      <w:numFmt w:val="lowerLetter"/>
      <w:lvlText w:val="(%3)"/>
      <w:lvlJc w:val="left"/>
      <w:pPr>
        <w:ind w:left="2482" w:hanging="720"/>
      </w:pPr>
      <w:rPr>
        <w:rFonts w:hint="default"/>
      </w:r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79451CDD"/>
    <w:multiLevelType w:val="hybridMultilevel"/>
    <w:tmpl w:val="E7C65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990548F"/>
    <w:multiLevelType w:val="hybridMultilevel"/>
    <w:tmpl w:val="DFBA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81A90"/>
    <w:multiLevelType w:val="hybridMultilevel"/>
    <w:tmpl w:val="125CC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010B13"/>
    <w:multiLevelType w:val="hybridMultilevel"/>
    <w:tmpl w:val="11DA30BC"/>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num w:numId="1" w16cid:durableId="1915819202">
    <w:abstractNumId w:val="31"/>
  </w:num>
  <w:num w:numId="2" w16cid:durableId="129172868">
    <w:abstractNumId w:val="29"/>
  </w:num>
  <w:num w:numId="3" w16cid:durableId="1544563596">
    <w:abstractNumId w:val="14"/>
  </w:num>
  <w:num w:numId="4" w16cid:durableId="2083208877">
    <w:abstractNumId w:val="3"/>
  </w:num>
  <w:num w:numId="5" w16cid:durableId="171069743">
    <w:abstractNumId w:val="1"/>
  </w:num>
  <w:num w:numId="6" w16cid:durableId="1444886959">
    <w:abstractNumId w:val="6"/>
  </w:num>
  <w:num w:numId="7" w16cid:durableId="1921020246">
    <w:abstractNumId w:val="9"/>
  </w:num>
  <w:num w:numId="8" w16cid:durableId="1681857119">
    <w:abstractNumId w:val="26"/>
  </w:num>
  <w:num w:numId="9" w16cid:durableId="564801579">
    <w:abstractNumId w:val="17"/>
  </w:num>
  <w:num w:numId="10" w16cid:durableId="1401369715">
    <w:abstractNumId w:val="2"/>
  </w:num>
  <w:num w:numId="11" w16cid:durableId="2034459213">
    <w:abstractNumId w:val="32"/>
  </w:num>
  <w:num w:numId="12" w16cid:durableId="985816482">
    <w:abstractNumId w:val="30"/>
  </w:num>
  <w:num w:numId="13" w16cid:durableId="1978952412">
    <w:abstractNumId w:val="16"/>
  </w:num>
  <w:num w:numId="14" w16cid:durableId="1003161620">
    <w:abstractNumId w:val="27"/>
  </w:num>
  <w:num w:numId="15" w16cid:durableId="2083746545">
    <w:abstractNumId w:val="13"/>
  </w:num>
  <w:num w:numId="16" w16cid:durableId="522287834">
    <w:abstractNumId w:val="8"/>
  </w:num>
  <w:num w:numId="17" w16cid:durableId="503858237">
    <w:abstractNumId w:val="34"/>
  </w:num>
  <w:num w:numId="18" w16cid:durableId="343558608">
    <w:abstractNumId w:val="33"/>
  </w:num>
  <w:num w:numId="19" w16cid:durableId="300695912">
    <w:abstractNumId w:val="7"/>
  </w:num>
  <w:num w:numId="20" w16cid:durableId="870999202">
    <w:abstractNumId w:val="10"/>
  </w:num>
  <w:num w:numId="21" w16cid:durableId="155844767">
    <w:abstractNumId w:val="0"/>
  </w:num>
  <w:num w:numId="22" w16cid:durableId="95055123">
    <w:abstractNumId w:val="21"/>
  </w:num>
  <w:num w:numId="23" w16cid:durableId="567346242">
    <w:abstractNumId w:val="28"/>
  </w:num>
  <w:num w:numId="24" w16cid:durableId="1857039381">
    <w:abstractNumId w:val="15"/>
  </w:num>
  <w:num w:numId="25" w16cid:durableId="26956471">
    <w:abstractNumId w:val="12"/>
  </w:num>
  <w:num w:numId="26" w16cid:durableId="1469517811">
    <w:abstractNumId w:val="4"/>
  </w:num>
  <w:num w:numId="27" w16cid:durableId="701831621">
    <w:abstractNumId w:val="5"/>
  </w:num>
  <w:num w:numId="28" w16cid:durableId="2019499450">
    <w:abstractNumId w:val="20"/>
  </w:num>
  <w:num w:numId="29" w16cid:durableId="998508679">
    <w:abstractNumId w:val="22"/>
  </w:num>
  <w:num w:numId="30" w16cid:durableId="1016007514">
    <w:abstractNumId w:val="23"/>
  </w:num>
  <w:num w:numId="31" w16cid:durableId="894318376">
    <w:abstractNumId w:val="19"/>
  </w:num>
  <w:num w:numId="32" w16cid:durableId="2005040515">
    <w:abstractNumId w:val="35"/>
  </w:num>
  <w:num w:numId="33" w16cid:durableId="1091272690">
    <w:abstractNumId w:val="24"/>
  </w:num>
  <w:num w:numId="34" w16cid:durableId="81225237">
    <w:abstractNumId w:val="11"/>
  </w:num>
  <w:num w:numId="35" w16cid:durableId="1066412782">
    <w:abstractNumId w:val="18"/>
  </w:num>
  <w:num w:numId="36" w16cid:durableId="1031344832">
    <w:abstractNumId w:val="25"/>
  </w:num>
  <w:num w:numId="37" w16cid:durableId="85114848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14"/>
    <w:rsid w:val="00007705"/>
    <w:rsid w:val="000117B4"/>
    <w:rsid w:val="00025F47"/>
    <w:rsid w:val="00073CC0"/>
    <w:rsid w:val="0008417B"/>
    <w:rsid w:val="000947C2"/>
    <w:rsid w:val="000C3BAC"/>
    <w:rsid w:val="000D6E47"/>
    <w:rsid w:val="000E0C2E"/>
    <w:rsid w:val="000E3E81"/>
    <w:rsid w:val="000E4449"/>
    <w:rsid w:val="00104D2A"/>
    <w:rsid w:val="00120C26"/>
    <w:rsid w:val="00152FA6"/>
    <w:rsid w:val="001704FD"/>
    <w:rsid w:val="001C01A5"/>
    <w:rsid w:val="001C7DE6"/>
    <w:rsid w:val="001D5E08"/>
    <w:rsid w:val="001E3D9F"/>
    <w:rsid w:val="001F7910"/>
    <w:rsid w:val="00223E59"/>
    <w:rsid w:val="002438CC"/>
    <w:rsid w:val="00264AF0"/>
    <w:rsid w:val="002A749F"/>
    <w:rsid w:val="002C04B2"/>
    <w:rsid w:val="002F75D0"/>
    <w:rsid w:val="00315409"/>
    <w:rsid w:val="003300BD"/>
    <w:rsid w:val="00352962"/>
    <w:rsid w:val="003803E4"/>
    <w:rsid w:val="003B6293"/>
    <w:rsid w:val="003D2640"/>
    <w:rsid w:val="003E249A"/>
    <w:rsid w:val="003E6090"/>
    <w:rsid w:val="00400E61"/>
    <w:rsid w:val="00424AA2"/>
    <w:rsid w:val="00427328"/>
    <w:rsid w:val="004318A0"/>
    <w:rsid w:val="00492079"/>
    <w:rsid w:val="004C4D82"/>
    <w:rsid w:val="004C666B"/>
    <w:rsid w:val="004C6A5A"/>
    <w:rsid w:val="004D14F5"/>
    <w:rsid w:val="004D3B91"/>
    <w:rsid w:val="00516EC4"/>
    <w:rsid w:val="005363D3"/>
    <w:rsid w:val="0053662A"/>
    <w:rsid w:val="00553157"/>
    <w:rsid w:val="005707CC"/>
    <w:rsid w:val="0059026A"/>
    <w:rsid w:val="00594939"/>
    <w:rsid w:val="005A319D"/>
    <w:rsid w:val="00686434"/>
    <w:rsid w:val="006E7A8E"/>
    <w:rsid w:val="0070359A"/>
    <w:rsid w:val="00705B04"/>
    <w:rsid w:val="00747F37"/>
    <w:rsid w:val="0077259C"/>
    <w:rsid w:val="00786B4D"/>
    <w:rsid w:val="00792E0C"/>
    <w:rsid w:val="0079319E"/>
    <w:rsid w:val="00796595"/>
    <w:rsid w:val="007B1B86"/>
    <w:rsid w:val="007B6805"/>
    <w:rsid w:val="007B7ECD"/>
    <w:rsid w:val="007D1906"/>
    <w:rsid w:val="007D6AF8"/>
    <w:rsid w:val="00851928"/>
    <w:rsid w:val="00867880"/>
    <w:rsid w:val="00887286"/>
    <w:rsid w:val="008B63AF"/>
    <w:rsid w:val="008C2314"/>
    <w:rsid w:val="00913FEB"/>
    <w:rsid w:val="009359D3"/>
    <w:rsid w:val="00936A4D"/>
    <w:rsid w:val="00941C47"/>
    <w:rsid w:val="009609FF"/>
    <w:rsid w:val="00963117"/>
    <w:rsid w:val="00965485"/>
    <w:rsid w:val="00992669"/>
    <w:rsid w:val="009A0E2B"/>
    <w:rsid w:val="009D3224"/>
    <w:rsid w:val="009E1FED"/>
    <w:rsid w:val="009E65B7"/>
    <w:rsid w:val="00A05C1D"/>
    <w:rsid w:val="00A37CD9"/>
    <w:rsid w:val="00A77434"/>
    <w:rsid w:val="00AB1035"/>
    <w:rsid w:val="00AC3738"/>
    <w:rsid w:val="00AE440D"/>
    <w:rsid w:val="00AF282E"/>
    <w:rsid w:val="00AF64D2"/>
    <w:rsid w:val="00BC1700"/>
    <w:rsid w:val="00BC735E"/>
    <w:rsid w:val="00BD4196"/>
    <w:rsid w:val="00BF5C13"/>
    <w:rsid w:val="00BF75CA"/>
    <w:rsid w:val="00C01C47"/>
    <w:rsid w:val="00C03364"/>
    <w:rsid w:val="00C15084"/>
    <w:rsid w:val="00C15887"/>
    <w:rsid w:val="00C408ED"/>
    <w:rsid w:val="00C609C8"/>
    <w:rsid w:val="00C644CE"/>
    <w:rsid w:val="00C66E98"/>
    <w:rsid w:val="00CB12FF"/>
    <w:rsid w:val="00CE0437"/>
    <w:rsid w:val="00D1157E"/>
    <w:rsid w:val="00D207CE"/>
    <w:rsid w:val="00D226EF"/>
    <w:rsid w:val="00D50931"/>
    <w:rsid w:val="00D64494"/>
    <w:rsid w:val="00D765A5"/>
    <w:rsid w:val="00D9126C"/>
    <w:rsid w:val="00D91B48"/>
    <w:rsid w:val="00DE08DE"/>
    <w:rsid w:val="00DF1442"/>
    <w:rsid w:val="00E05719"/>
    <w:rsid w:val="00E17D8A"/>
    <w:rsid w:val="00E17E05"/>
    <w:rsid w:val="00E2566D"/>
    <w:rsid w:val="00E4271D"/>
    <w:rsid w:val="00E43773"/>
    <w:rsid w:val="00E47A0B"/>
    <w:rsid w:val="00E5558F"/>
    <w:rsid w:val="00E93594"/>
    <w:rsid w:val="00EB4807"/>
    <w:rsid w:val="00EC4B45"/>
    <w:rsid w:val="00EC77F0"/>
    <w:rsid w:val="00EE3F00"/>
    <w:rsid w:val="00EF0CAE"/>
    <w:rsid w:val="00F010D3"/>
    <w:rsid w:val="00F21C89"/>
    <w:rsid w:val="00F4075C"/>
    <w:rsid w:val="00F64063"/>
    <w:rsid w:val="00F70D5B"/>
    <w:rsid w:val="00F8262F"/>
    <w:rsid w:val="00FA2F48"/>
    <w:rsid w:val="00FB0188"/>
    <w:rsid w:val="00FE05F4"/>
    <w:rsid w:val="00FE513D"/>
    <w:rsid w:val="00FF4661"/>
    <w:rsid w:val="00FF7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600237"/>
  <w15:docId w15:val="{32A4CDF5-5A08-42B5-8D53-F40C191F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C66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314"/>
  </w:style>
  <w:style w:type="paragraph" w:styleId="Footer">
    <w:name w:val="footer"/>
    <w:basedOn w:val="Normal"/>
    <w:link w:val="FooterChar"/>
    <w:uiPriority w:val="99"/>
    <w:unhideWhenUsed/>
    <w:rsid w:val="008C2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314"/>
  </w:style>
  <w:style w:type="paragraph" w:styleId="BalloonText">
    <w:name w:val="Balloon Text"/>
    <w:basedOn w:val="Normal"/>
    <w:link w:val="BalloonTextChar"/>
    <w:uiPriority w:val="99"/>
    <w:semiHidden/>
    <w:unhideWhenUsed/>
    <w:rsid w:val="008C2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314"/>
    <w:rPr>
      <w:rFonts w:ascii="Tahoma" w:hAnsi="Tahoma" w:cs="Tahoma"/>
      <w:sz w:val="16"/>
      <w:szCs w:val="16"/>
    </w:rPr>
  </w:style>
  <w:style w:type="paragraph" w:customStyle="1" w:styleId="3CBD5A742C28424DA5172AD252E32316">
    <w:name w:val="3CBD5A742C28424DA5172AD252E32316"/>
    <w:rsid w:val="008C2314"/>
    <w:rPr>
      <w:rFonts w:eastAsiaTheme="minorEastAsia"/>
      <w:lang w:val="en-US" w:eastAsia="ja-JP"/>
    </w:rPr>
  </w:style>
  <w:style w:type="paragraph" w:styleId="ListParagraph">
    <w:name w:val="List Paragraph"/>
    <w:basedOn w:val="Normal"/>
    <w:uiPriority w:val="34"/>
    <w:qFormat/>
    <w:rsid w:val="008C2314"/>
    <w:pPr>
      <w:ind w:left="720"/>
      <w:contextualSpacing/>
    </w:pPr>
  </w:style>
  <w:style w:type="table" w:styleId="TableGrid">
    <w:name w:val="Table Grid"/>
    <w:basedOn w:val="TableNormal"/>
    <w:uiPriority w:val="59"/>
    <w:rsid w:val="001C0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E98"/>
    <w:rPr>
      <w:color w:val="0000FF" w:themeColor="hyperlink"/>
      <w:u w:val="single"/>
    </w:rPr>
  </w:style>
  <w:style w:type="paragraph" w:styleId="Caption">
    <w:name w:val="caption"/>
    <w:basedOn w:val="Normal"/>
    <w:next w:val="Normal"/>
    <w:qFormat/>
    <w:rsid w:val="00427328"/>
    <w:pPr>
      <w:widowControl w:val="0"/>
    </w:pPr>
    <w:rPr>
      <w:rFonts w:ascii="Calibri" w:eastAsia="SimSun" w:hAnsi="Calibri" w:cs="Times New Roman"/>
      <w:b/>
      <w:bCs/>
      <w:kern w:val="2"/>
      <w:sz w:val="20"/>
      <w:szCs w:val="20"/>
      <w:lang w:val="en-US" w:eastAsia="zh-CN"/>
    </w:rPr>
  </w:style>
  <w:style w:type="character" w:customStyle="1" w:styleId="Heading2Char">
    <w:name w:val="Heading 2 Char"/>
    <w:basedOn w:val="DefaultParagraphFont"/>
    <w:link w:val="Heading2"/>
    <w:uiPriority w:val="9"/>
    <w:rsid w:val="004C666B"/>
    <w:rPr>
      <w:rFonts w:asciiTheme="majorHAnsi" w:eastAsiaTheme="majorEastAsia" w:hAnsiTheme="majorHAnsi" w:cstheme="majorBidi"/>
      <w:b/>
      <w:bCs/>
      <w:color w:val="4F81BD" w:themeColor="accent1"/>
      <w:sz w:val="26"/>
      <w:szCs w:val="26"/>
    </w:rPr>
  </w:style>
  <w:style w:type="paragraph" w:customStyle="1" w:styleId="patient-group">
    <w:name w:val="patient-group"/>
    <w:basedOn w:val="Normal"/>
    <w:rsid w:val="007B68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ose-statement">
    <w:name w:val="dose-statement"/>
    <w:basedOn w:val="Normal"/>
    <w:rsid w:val="007B68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52962"/>
    <w:rPr>
      <w:sz w:val="16"/>
      <w:szCs w:val="16"/>
    </w:rPr>
  </w:style>
  <w:style w:type="paragraph" w:styleId="CommentText">
    <w:name w:val="annotation text"/>
    <w:basedOn w:val="Normal"/>
    <w:link w:val="CommentTextChar"/>
    <w:uiPriority w:val="99"/>
    <w:semiHidden/>
    <w:unhideWhenUsed/>
    <w:rsid w:val="00352962"/>
    <w:pPr>
      <w:spacing w:line="240" w:lineRule="auto"/>
    </w:pPr>
    <w:rPr>
      <w:sz w:val="20"/>
      <w:szCs w:val="20"/>
    </w:rPr>
  </w:style>
  <w:style w:type="character" w:customStyle="1" w:styleId="CommentTextChar">
    <w:name w:val="Comment Text Char"/>
    <w:basedOn w:val="DefaultParagraphFont"/>
    <w:link w:val="CommentText"/>
    <w:uiPriority w:val="99"/>
    <w:semiHidden/>
    <w:rsid w:val="00352962"/>
    <w:rPr>
      <w:sz w:val="20"/>
      <w:szCs w:val="20"/>
    </w:rPr>
  </w:style>
  <w:style w:type="paragraph" w:styleId="CommentSubject">
    <w:name w:val="annotation subject"/>
    <w:basedOn w:val="CommentText"/>
    <w:next w:val="CommentText"/>
    <w:link w:val="CommentSubjectChar"/>
    <w:uiPriority w:val="99"/>
    <w:semiHidden/>
    <w:unhideWhenUsed/>
    <w:rsid w:val="00352962"/>
    <w:rPr>
      <w:b/>
      <w:bCs/>
    </w:rPr>
  </w:style>
  <w:style w:type="character" w:customStyle="1" w:styleId="CommentSubjectChar">
    <w:name w:val="Comment Subject Char"/>
    <w:basedOn w:val="CommentTextChar"/>
    <w:link w:val="CommentSubject"/>
    <w:uiPriority w:val="99"/>
    <w:semiHidden/>
    <w:rsid w:val="00352962"/>
    <w:rPr>
      <w:b/>
      <w:bCs/>
      <w:sz w:val="20"/>
      <w:szCs w:val="20"/>
    </w:rPr>
  </w:style>
  <w:style w:type="paragraph" w:styleId="NoSpacing">
    <w:name w:val="No Spacing"/>
    <w:uiPriority w:val="1"/>
    <w:qFormat/>
    <w:rsid w:val="00492079"/>
    <w:pPr>
      <w:spacing w:after="0" w:line="240" w:lineRule="auto"/>
    </w:pPr>
  </w:style>
  <w:style w:type="character" w:styleId="FollowedHyperlink">
    <w:name w:val="FollowedHyperlink"/>
    <w:basedOn w:val="DefaultParagraphFont"/>
    <w:uiPriority w:val="99"/>
    <w:semiHidden/>
    <w:unhideWhenUsed/>
    <w:rsid w:val="00492079"/>
    <w:rPr>
      <w:color w:val="800080" w:themeColor="followedHyperlink"/>
      <w:u w:val="single"/>
    </w:rPr>
  </w:style>
  <w:style w:type="character" w:styleId="UnresolvedMention">
    <w:name w:val="Unresolved Mention"/>
    <w:basedOn w:val="DefaultParagraphFont"/>
    <w:uiPriority w:val="99"/>
    <w:semiHidden/>
    <w:unhideWhenUsed/>
    <w:rsid w:val="00516EC4"/>
    <w:rPr>
      <w:color w:val="605E5C"/>
      <w:shd w:val="clear" w:color="auto" w:fill="E1DFDD"/>
    </w:rPr>
  </w:style>
  <w:style w:type="paragraph" w:styleId="Revision">
    <w:name w:val="Revision"/>
    <w:hidden/>
    <w:uiPriority w:val="99"/>
    <w:semiHidden/>
    <w:rsid w:val="00590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4597">
      <w:bodyDiv w:val="1"/>
      <w:marLeft w:val="0"/>
      <w:marRight w:val="0"/>
      <w:marTop w:val="0"/>
      <w:marBottom w:val="0"/>
      <w:divBdr>
        <w:top w:val="none" w:sz="0" w:space="0" w:color="auto"/>
        <w:left w:val="none" w:sz="0" w:space="0" w:color="auto"/>
        <w:bottom w:val="none" w:sz="0" w:space="0" w:color="auto"/>
        <w:right w:val="none" w:sz="0" w:space="0" w:color="auto"/>
      </w:divBdr>
      <w:divsChild>
        <w:div w:id="217936734">
          <w:marLeft w:val="0"/>
          <w:marRight w:val="0"/>
          <w:marTop w:val="0"/>
          <w:marBottom w:val="0"/>
          <w:divBdr>
            <w:top w:val="none" w:sz="0" w:space="0" w:color="auto"/>
            <w:left w:val="none" w:sz="0" w:space="0" w:color="auto"/>
            <w:bottom w:val="none" w:sz="0" w:space="0" w:color="auto"/>
            <w:right w:val="none" w:sz="0" w:space="0" w:color="auto"/>
          </w:divBdr>
          <w:divsChild>
            <w:div w:id="1506481180">
              <w:marLeft w:val="0"/>
              <w:marRight w:val="0"/>
              <w:marTop w:val="0"/>
              <w:marBottom w:val="0"/>
              <w:divBdr>
                <w:top w:val="none" w:sz="0" w:space="0" w:color="auto"/>
                <w:left w:val="none" w:sz="0" w:space="0" w:color="auto"/>
                <w:bottom w:val="none" w:sz="0" w:space="0" w:color="auto"/>
                <w:right w:val="none" w:sz="0" w:space="0" w:color="auto"/>
              </w:divBdr>
              <w:divsChild>
                <w:div w:id="1408721702">
                  <w:marLeft w:val="0"/>
                  <w:marRight w:val="0"/>
                  <w:marTop w:val="0"/>
                  <w:marBottom w:val="0"/>
                  <w:divBdr>
                    <w:top w:val="none" w:sz="0" w:space="0" w:color="auto"/>
                    <w:left w:val="none" w:sz="0" w:space="0" w:color="auto"/>
                    <w:bottom w:val="none" w:sz="0" w:space="0" w:color="auto"/>
                    <w:right w:val="none" w:sz="0" w:space="0" w:color="auto"/>
                  </w:divBdr>
                  <w:divsChild>
                    <w:div w:id="1786846215">
                      <w:marLeft w:val="0"/>
                      <w:marRight w:val="0"/>
                      <w:marTop w:val="0"/>
                      <w:marBottom w:val="0"/>
                      <w:divBdr>
                        <w:top w:val="none" w:sz="0" w:space="0" w:color="auto"/>
                        <w:left w:val="none" w:sz="0" w:space="0" w:color="auto"/>
                        <w:bottom w:val="none" w:sz="0" w:space="0" w:color="auto"/>
                        <w:right w:val="none" w:sz="0" w:space="0" w:color="auto"/>
                      </w:divBdr>
                      <w:divsChild>
                        <w:div w:id="2118017374">
                          <w:marLeft w:val="0"/>
                          <w:marRight w:val="0"/>
                          <w:marTop w:val="0"/>
                          <w:marBottom w:val="0"/>
                          <w:divBdr>
                            <w:top w:val="none" w:sz="0" w:space="0" w:color="auto"/>
                            <w:left w:val="none" w:sz="0" w:space="0" w:color="auto"/>
                            <w:bottom w:val="none" w:sz="0" w:space="0" w:color="auto"/>
                            <w:right w:val="none" w:sz="0" w:space="0" w:color="auto"/>
                          </w:divBdr>
                          <w:divsChild>
                            <w:div w:id="291718149">
                              <w:marLeft w:val="2070"/>
                              <w:marRight w:val="3960"/>
                              <w:marTop w:val="0"/>
                              <w:marBottom w:val="0"/>
                              <w:divBdr>
                                <w:top w:val="none" w:sz="0" w:space="0" w:color="auto"/>
                                <w:left w:val="none" w:sz="0" w:space="0" w:color="auto"/>
                                <w:bottom w:val="none" w:sz="0" w:space="0" w:color="auto"/>
                                <w:right w:val="none" w:sz="0" w:space="0" w:color="auto"/>
                              </w:divBdr>
                              <w:divsChild>
                                <w:div w:id="372923686">
                                  <w:marLeft w:val="0"/>
                                  <w:marRight w:val="0"/>
                                  <w:marTop w:val="0"/>
                                  <w:marBottom w:val="0"/>
                                  <w:divBdr>
                                    <w:top w:val="none" w:sz="0" w:space="0" w:color="auto"/>
                                    <w:left w:val="none" w:sz="0" w:space="0" w:color="auto"/>
                                    <w:bottom w:val="none" w:sz="0" w:space="0" w:color="auto"/>
                                    <w:right w:val="none" w:sz="0" w:space="0" w:color="auto"/>
                                  </w:divBdr>
                                  <w:divsChild>
                                    <w:div w:id="867137028">
                                      <w:marLeft w:val="0"/>
                                      <w:marRight w:val="0"/>
                                      <w:marTop w:val="0"/>
                                      <w:marBottom w:val="0"/>
                                      <w:divBdr>
                                        <w:top w:val="none" w:sz="0" w:space="0" w:color="auto"/>
                                        <w:left w:val="none" w:sz="0" w:space="0" w:color="auto"/>
                                        <w:bottom w:val="none" w:sz="0" w:space="0" w:color="auto"/>
                                        <w:right w:val="none" w:sz="0" w:space="0" w:color="auto"/>
                                      </w:divBdr>
                                      <w:divsChild>
                                        <w:div w:id="186987365">
                                          <w:marLeft w:val="0"/>
                                          <w:marRight w:val="0"/>
                                          <w:marTop w:val="0"/>
                                          <w:marBottom w:val="0"/>
                                          <w:divBdr>
                                            <w:top w:val="none" w:sz="0" w:space="0" w:color="auto"/>
                                            <w:left w:val="none" w:sz="0" w:space="0" w:color="auto"/>
                                            <w:bottom w:val="none" w:sz="0" w:space="0" w:color="auto"/>
                                            <w:right w:val="none" w:sz="0" w:space="0" w:color="auto"/>
                                          </w:divBdr>
                                          <w:divsChild>
                                            <w:div w:id="38290016">
                                              <w:marLeft w:val="0"/>
                                              <w:marRight w:val="0"/>
                                              <w:marTop w:val="90"/>
                                              <w:marBottom w:val="0"/>
                                              <w:divBdr>
                                                <w:top w:val="none" w:sz="0" w:space="0" w:color="auto"/>
                                                <w:left w:val="none" w:sz="0" w:space="0" w:color="auto"/>
                                                <w:bottom w:val="none" w:sz="0" w:space="0" w:color="auto"/>
                                                <w:right w:val="none" w:sz="0" w:space="0" w:color="auto"/>
                                              </w:divBdr>
                                              <w:divsChild>
                                                <w:div w:id="1481725274">
                                                  <w:marLeft w:val="0"/>
                                                  <w:marRight w:val="0"/>
                                                  <w:marTop w:val="0"/>
                                                  <w:marBottom w:val="0"/>
                                                  <w:divBdr>
                                                    <w:top w:val="none" w:sz="0" w:space="0" w:color="auto"/>
                                                    <w:left w:val="none" w:sz="0" w:space="0" w:color="auto"/>
                                                    <w:bottom w:val="none" w:sz="0" w:space="0" w:color="auto"/>
                                                    <w:right w:val="none" w:sz="0" w:space="0" w:color="auto"/>
                                                  </w:divBdr>
                                                  <w:divsChild>
                                                    <w:div w:id="40717460">
                                                      <w:marLeft w:val="0"/>
                                                      <w:marRight w:val="0"/>
                                                      <w:marTop w:val="0"/>
                                                      <w:marBottom w:val="405"/>
                                                      <w:divBdr>
                                                        <w:top w:val="none" w:sz="0" w:space="0" w:color="auto"/>
                                                        <w:left w:val="none" w:sz="0" w:space="0" w:color="auto"/>
                                                        <w:bottom w:val="none" w:sz="0" w:space="0" w:color="auto"/>
                                                        <w:right w:val="none" w:sz="0" w:space="0" w:color="auto"/>
                                                      </w:divBdr>
                                                      <w:divsChild>
                                                        <w:div w:id="1977179409">
                                                          <w:marLeft w:val="0"/>
                                                          <w:marRight w:val="0"/>
                                                          <w:marTop w:val="0"/>
                                                          <w:marBottom w:val="0"/>
                                                          <w:divBdr>
                                                            <w:top w:val="none" w:sz="0" w:space="0" w:color="auto"/>
                                                            <w:left w:val="none" w:sz="0" w:space="0" w:color="auto"/>
                                                            <w:bottom w:val="none" w:sz="0" w:space="0" w:color="auto"/>
                                                            <w:right w:val="none" w:sz="0" w:space="0" w:color="auto"/>
                                                          </w:divBdr>
                                                          <w:divsChild>
                                                            <w:div w:id="672951724">
                                                              <w:marLeft w:val="0"/>
                                                              <w:marRight w:val="0"/>
                                                              <w:marTop w:val="0"/>
                                                              <w:marBottom w:val="0"/>
                                                              <w:divBdr>
                                                                <w:top w:val="none" w:sz="0" w:space="0" w:color="auto"/>
                                                                <w:left w:val="none" w:sz="0" w:space="0" w:color="auto"/>
                                                                <w:bottom w:val="none" w:sz="0" w:space="0" w:color="auto"/>
                                                                <w:right w:val="none" w:sz="0" w:space="0" w:color="auto"/>
                                                              </w:divBdr>
                                                              <w:divsChild>
                                                                <w:div w:id="374430988">
                                                                  <w:marLeft w:val="0"/>
                                                                  <w:marRight w:val="0"/>
                                                                  <w:marTop w:val="0"/>
                                                                  <w:marBottom w:val="0"/>
                                                                  <w:divBdr>
                                                                    <w:top w:val="none" w:sz="0" w:space="0" w:color="auto"/>
                                                                    <w:left w:val="none" w:sz="0" w:space="0" w:color="auto"/>
                                                                    <w:bottom w:val="none" w:sz="0" w:space="0" w:color="auto"/>
                                                                    <w:right w:val="none" w:sz="0" w:space="0" w:color="auto"/>
                                                                  </w:divBdr>
                                                                  <w:divsChild>
                                                                    <w:div w:id="454180185">
                                                                      <w:marLeft w:val="0"/>
                                                                      <w:marRight w:val="0"/>
                                                                      <w:marTop w:val="0"/>
                                                                      <w:marBottom w:val="0"/>
                                                                      <w:divBdr>
                                                                        <w:top w:val="none" w:sz="0" w:space="0" w:color="auto"/>
                                                                        <w:left w:val="none" w:sz="0" w:space="0" w:color="auto"/>
                                                                        <w:bottom w:val="none" w:sz="0" w:space="0" w:color="auto"/>
                                                                        <w:right w:val="none" w:sz="0" w:space="0" w:color="auto"/>
                                                                      </w:divBdr>
                                                                      <w:divsChild>
                                                                        <w:div w:id="127671008">
                                                                          <w:marLeft w:val="0"/>
                                                                          <w:marRight w:val="0"/>
                                                                          <w:marTop w:val="0"/>
                                                                          <w:marBottom w:val="0"/>
                                                                          <w:divBdr>
                                                                            <w:top w:val="none" w:sz="0" w:space="0" w:color="auto"/>
                                                                            <w:left w:val="none" w:sz="0" w:space="0" w:color="auto"/>
                                                                            <w:bottom w:val="none" w:sz="0" w:space="0" w:color="auto"/>
                                                                            <w:right w:val="none" w:sz="0" w:space="0" w:color="auto"/>
                                                                          </w:divBdr>
                                                                          <w:divsChild>
                                                                            <w:div w:id="432090716">
                                                                              <w:marLeft w:val="0"/>
                                                                              <w:marRight w:val="0"/>
                                                                              <w:marTop w:val="0"/>
                                                                              <w:marBottom w:val="0"/>
                                                                              <w:divBdr>
                                                                                <w:top w:val="none" w:sz="0" w:space="0" w:color="auto"/>
                                                                                <w:left w:val="none" w:sz="0" w:space="0" w:color="auto"/>
                                                                                <w:bottom w:val="none" w:sz="0" w:space="0" w:color="auto"/>
                                                                                <w:right w:val="none" w:sz="0" w:space="0" w:color="auto"/>
                                                                              </w:divBdr>
                                                                              <w:divsChild>
                                                                                <w:div w:id="2741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410201">
      <w:bodyDiv w:val="1"/>
      <w:marLeft w:val="0"/>
      <w:marRight w:val="0"/>
      <w:marTop w:val="0"/>
      <w:marBottom w:val="0"/>
      <w:divBdr>
        <w:top w:val="none" w:sz="0" w:space="0" w:color="auto"/>
        <w:left w:val="none" w:sz="0" w:space="0" w:color="auto"/>
        <w:bottom w:val="none" w:sz="0" w:space="0" w:color="auto"/>
        <w:right w:val="none" w:sz="0" w:space="0" w:color="auto"/>
      </w:divBdr>
    </w:div>
    <w:div w:id="853809788">
      <w:bodyDiv w:val="1"/>
      <w:marLeft w:val="0"/>
      <w:marRight w:val="0"/>
      <w:marTop w:val="0"/>
      <w:marBottom w:val="0"/>
      <w:divBdr>
        <w:top w:val="none" w:sz="0" w:space="0" w:color="auto"/>
        <w:left w:val="none" w:sz="0" w:space="0" w:color="auto"/>
        <w:bottom w:val="none" w:sz="0" w:space="0" w:color="auto"/>
        <w:right w:val="none" w:sz="0" w:space="0" w:color="auto"/>
      </w:divBdr>
      <w:divsChild>
        <w:div w:id="1231039549">
          <w:marLeft w:val="0"/>
          <w:marRight w:val="0"/>
          <w:marTop w:val="0"/>
          <w:marBottom w:val="0"/>
          <w:divBdr>
            <w:top w:val="none" w:sz="0" w:space="0" w:color="auto"/>
            <w:left w:val="none" w:sz="0" w:space="0" w:color="auto"/>
            <w:bottom w:val="none" w:sz="0" w:space="0" w:color="auto"/>
            <w:right w:val="none" w:sz="0" w:space="0" w:color="auto"/>
          </w:divBdr>
          <w:divsChild>
            <w:div w:id="352413985">
              <w:marLeft w:val="0"/>
              <w:marRight w:val="0"/>
              <w:marTop w:val="0"/>
              <w:marBottom w:val="0"/>
              <w:divBdr>
                <w:top w:val="none" w:sz="0" w:space="0" w:color="auto"/>
                <w:left w:val="none" w:sz="0" w:space="0" w:color="auto"/>
                <w:bottom w:val="none" w:sz="0" w:space="0" w:color="auto"/>
                <w:right w:val="none" w:sz="0" w:space="0" w:color="auto"/>
              </w:divBdr>
              <w:divsChild>
                <w:div w:id="578712147">
                  <w:marLeft w:val="0"/>
                  <w:marRight w:val="0"/>
                  <w:marTop w:val="0"/>
                  <w:marBottom w:val="0"/>
                  <w:divBdr>
                    <w:top w:val="none" w:sz="0" w:space="0" w:color="auto"/>
                    <w:left w:val="none" w:sz="0" w:space="0" w:color="auto"/>
                    <w:bottom w:val="none" w:sz="0" w:space="0" w:color="auto"/>
                    <w:right w:val="none" w:sz="0" w:space="0" w:color="auto"/>
                  </w:divBdr>
                  <w:divsChild>
                    <w:div w:id="1346400038">
                      <w:marLeft w:val="0"/>
                      <w:marRight w:val="0"/>
                      <w:marTop w:val="100"/>
                      <w:marBottom w:val="100"/>
                      <w:divBdr>
                        <w:top w:val="none" w:sz="0" w:space="0" w:color="auto"/>
                        <w:left w:val="none" w:sz="0" w:space="0" w:color="auto"/>
                        <w:bottom w:val="none" w:sz="0" w:space="0" w:color="auto"/>
                        <w:right w:val="none" w:sz="0" w:space="0" w:color="auto"/>
                      </w:divBdr>
                      <w:divsChild>
                        <w:div w:id="1777287318">
                          <w:marLeft w:val="0"/>
                          <w:marRight w:val="0"/>
                          <w:marTop w:val="0"/>
                          <w:marBottom w:val="0"/>
                          <w:divBdr>
                            <w:top w:val="none" w:sz="0" w:space="0" w:color="auto"/>
                            <w:left w:val="none" w:sz="0" w:space="0" w:color="auto"/>
                            <w:bottom w:val="none" w:sz="0" w:space="0" w:color="auto"/>
                            <w:right w:val="none" w:sz="0" w:space="0" w:color="auto"/>
                          </w:divBdr>
                          <w:divsChild>
                            <w:div w:id="1659844488">
                              <w:marLeft w:val="0"/>
                              <w:marRight w:val="0"/>
                              <w:marTop w:val="0"/>
                              <w:marBottom w:val="0"/>
                              <w:divBdr>
                                <w:top w:val="none" w:sz="0" w:space="0" w:color="auto"/>
                                <w:left w:val="none" w:sz="0" w:space="0" w:color="auto"/>
                                <w:bottom w:val="none" w:sz="0" w:space="0" w:color="auto"/>
                                <w:right w:val="none" w:sz="0" w:space="0" w:color="auto"/>
                              </w:divBdr>
                              <w:divsChild>
                                <w:div w:id="1690446390">
                                  <w:marLeft w:val="0"/>
                                  <w:marRight w:val="0"/>
                                  <w:marTop w:val="0"/>
                                  <w:marBottom w:val="0"/>
                                  <w:divBdr>
                                    <w:top w:val="none" w:sz="0" w:space="0" w:color="auto"/>
                                    <w:left w:val="none" w:sz="0" w:space="0" w:color="auto"/>
                                    <w:bottom w:val="none" w:sz="0" w:space="0" w:color="auto"/>
                                    <w:right w:val="none" w:sz="0" w:space="0" w:color="auto"/>
                                  </w:divBdr>
                                  <w:divsChild>
                                    <w:div w:id="1986087357">
                                      <w:marLeft w:val="0"/>
                                      <w:marRight w:val="0"/>
                                      <w:marTop w:val="0"/>
                                      <w:marBottom w:val="0"/>
                                      <w:divBdr>
                                        <w:top w:val="none" w:sz="0" w:space="0" w:color="auto"/>
                                        <w:left w:val="none" w:sz="0" w:space="0" w:color="auto"/>
                                        <w:bottom w:val="none" w:sz="0" w:space="0" w:color="auto"/>
                                        <w:right w:val="none" w:sz="0" w:space="0" w:color="auto"/>
                                      </w:divBdr>
                                      <w:divsChild>
                                        <w:div w:id="1067994941">
                                          <w:marLeft w:val="0"/>
                                          <w:marRight w:val="0"/>
                                          <w:marTop w:val="0"/>
                                          <w:marBottom w:val="0"/>
                                          <w:divBdr>
                                            <w:top w:val="single" w:sz="36" w:space="0" w:color="1A1A1A"/>
                                            <w:left w:val="single" w:sz="36" w:space="0" w:color="1A1A1A"/>
                                            <w:bottom w:val="single" w:sz="36" w:space="0" w:color="1A1A1A"/>
                                            <w:right w:val="single" w:sz="36" w:space="0" w:color="1A1A1A"/>
                                          </w:divBdr>
                                          <w:divsChild>
                                            <w:div w:id="11261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28318">
      <w:bodyDiv w:val="1"/>
      <w:marLeft w:val="0"/>
      <w:marRight w:val="0"/>
      <w:marTop w:val="0"/>
      <w:marBottom w:val="0"/>
      <w:divBdr>
        <w:top w:val="none" w:sz="0" w:space="0" w:color="auto"/>
        <w:left w:val="none" w:sz="0" w:space="0" w:color="auto"/>
        <w:bottom w:val="none" w:sz="0" w:space="0" w:color="auto"/>
        <w:right w:val="none" w:sz="0" w:space="0" w:color="auto"/>
      </w:divBdr>
    </w:div>
    <w:div w:id="1419598280">
      <w:bodyDiv w:val="1"/>
      <w:marLeft w:val="0"/>
      <w:marRight w:val="0"/>
      <w:marTop w:val="0"/>
      <w:marBottom w:val="0"/>
      <w:divBdr>
        <w:top w:val="none" w:sz="0" w:space="0" w:color="auto"/>
        <w:left w:val="none" w:sz="0" w:space="0" w:color="auto"/>
        <w:bottom w:val="none" w:sz="0" w:space="0" w:color="auto"/>
        <w:right w:val="none" w:sz="0" w:space="0" w:color="auto"/>
      </w:divBdr>
      <w:divsChild>
        <w:div w:id="1379017081">
          <w:marLeft w:val="0"/>
          <w:marRight w:val="0"/>
          <w:marTop w:val="0"/>
          <w:marBottom w:val="150"/>
          <w:divBdr>
            <w:top w:val="none" w:sz="0" w:space="0" w:color="auto"/>
            <w:left w:val="none" w:sz="0" w:space="0" w:color="auto"/>
            <w:bottom w:val="none" w:sz="0" w:space="0" w:color="auto"/>
            <w:right w:val="none" w:sz="0" w:space="0" w:color="auto"/>
          </w:divBdr>
        </w:div>
        <w:div w:id="987903911">
          <w:marLeft w:val="0"/>
          <w:marRight w:val="0"/>
          <w:marTop w:val="0"/>
          <w:marBottom w:val="150"/>
          <w:divBdr>
            <w:top w:val="none" w:sz="0" w:space="0" w:color="auto"/>
            <w:left w:val="none" w:sz="0" w:space="0" w:color="auto"/>
            <w:bottom w:val="none" w:sz="0" w:space="0" w:color="auto"/>
            <w:right w:val="none" w:sz="0" w:space="0" w:color="auto"/>
          </w:divBdr>
        </w:div>
        <w:div w:id="554396001">
          <w:marLeft w:val="0"/>
          <w:marRight w:val="0"/>
          <w:marTop w:val="0"/>
          <w:marBottom w:val="150"/>
          <w:divBdr>
            <w:top w:val="none" w:sz="0" w:space="0" w:color="auto"/>
            <w:left w:val="none" w:sz="0" w:space="0" w:color="auto"/>
            <w:bottom w:val="none" w:sz="0" w:space="0" w:color="auto"/>
            <w:right w:val="none" w:sz="0" w:space="0" w:color="auto"/>
          </w:divBdr>
        </w:div>
        <w:div w:id="1140422571">
          <w:marLeft w:val="0"/>
          <w:marRight w:val="0"/>
          <w:marTop w:val="0"/>
          <w:marBottom w:val="150"/>
          <w:divBdr>
            <w:top w:val="none" w:sz="0" w:space="0" w:color="auto"/>
            <w:left w:val="none" w:sz="0" w:space="0" w:color="auto"/>
            <w:bottom w:val="none" w:sz="0" w:space="0" w:color="auto"/>
            <w:right w:val="none" w:sz="0" w:space="0" w:color="auto"/>
          </w:divBdr>
        </w:div>
        <w:div w:id="43085770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dicinesmanagement.doncasterccg.nhs.uk/documents/melatoni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rhealthrotherham.co.uk/for-clinicia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edicine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es.org.uk/emc/product/2809" TargetMode="External"/><Relationship Id="rId5" Type="http://schemas.openxmlformats.org/officeDocument/2006/relationships/webSettings" Target="webSettings.xml"/><Relationship Id="rId15" Type="http://schemas.openxmlformats.org/officeDocument/2006/relationships/hyperlink" Target="https://bnf.nice.org.uk/" TargetMode="External"/><Relationship Id="rId10" Type="http://schemas.openxmlformats.org/officeDocument/2006/relationships/hyperlink" Target="https://www.nice.org.uk/guidance/ng8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guidance/ng8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E06C-5C59-4A71-9724-398F40CE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Rotherham Doncaster &amp; South Humber NHS Trust</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 reviewed September 2020</dc:creator>
  <cp:lastModifiedBy>FINNEGAN, Emma (ROTHERHAM DONCASTER AND SOUTH HUMBER NHS FOUNDATION TRUST)</cp:lastModifiedBy>
  <cp:revision>6</cp:revision>
  <cp:lastPrinted>2019-11-22T13:17:00Z</cp:lastPrinted>
  <dcterms:created xsi:type="dcterms:W3CDTF">2023-06-22T11:20:00Z</dcterms:created>
  <dcterms:modified xsi:type="dcterms:W3CDTF">2023-06-26T11:32:00Z</dcterms:modified>
</cp:coreProperties>
</file>