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21A8D" w14:textId="329B18A0" w:rsidR="008C2314" w:rsidRDefault="00AD3E1D" w:rsidP="00AD3E1D">
      <w:pPr>
        <w:jc w:val="right"/>
      </w:pPr>
      <w:r>
        <w:rPr>
          <w:noProof/>
        </w:rPr>
        <w:drawing>
          <wp:inline distT="0" distB="0" distL="0" distR="0" wp14:anchorId="56D593B6" wp14:editId="351D5198">
            <wp:extent cx="1951934" cy="8440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1958919" cy="847101"/>
                    </a:xfrm>
                    <a:prstGeom prst="rect">
                      <a:avLst/>
                    </a:prstGeom>
                  </pic:spPr>
                </pic:pic>
              </a:graphicData>
            </a:graphic>
          </wp:inline>
        </w:drawing>
      </w:r>
    </w:p>
    <w:p w14:paraId="0A4BD11B" w14:textId="77777777" w:rsidR="002D1A45" w:rsidRPr="006751BD" w:rsidRDefault="002D1A45" w:rsidP="008C1458">
      <w:pPr>
        <w:spacing w:before="120" w:after="120" w:line="240" w:lineRule="auto"/>
        <w:rPr>
          <w:rFonts w:ascii="Arial" w:hAnsi="Arial" w:cs="Arial"/>
          <w:b/>
          <w:noProof/>
          <w:color w:val="0070C0"/>
          <w:sz w:val="28"/>
          <w:szCs w:val="28"/>
        </w:rPr>
      </w:pPr>
      <w:r w:rsidRPr="006751BD">
        <w:rPr>
          <w:rFonts w:ascii="Arial" w:hAnsi="Arial" w:cs="Arial"/>
          <w:b/>
          <w:noProof/>
          <w:color w:val="0070C0"/>
          <w:sz w:val="28"/>
          <w:szCs w:val="28"/>
        </w:rPr>
        <w:t xml:space="preserve">Anxiety Disorders Formulary Guidance  </w:t>
      </w:r>
      <w:r w:rsidR="00217638" w:rsidRPr="006751BD">
        <w:rPr>
          <w:rFonts w:ascii="Arial" w:hAnsi="Arial" w:cs="Arial"/>
          <w:b/>
          <w:noProof/>
          <w:color w:val="0070C0"/>
          <w:sz w:val="28"/>
          <w:szCs w:val="28"/>
        </w:rPr>
        <w:t>[v2</w:t>
      </w:r>
      <w:r w:rsidR="00A27586" w:rsidRPr="006751BD">
        <w:rPr>
          <w:rFonts w:ascii="Arial" w:hAnsi="Arial" w:cs="Arial"/>
          <w:b/>
          <w:noProof/>
          <w:color w:val="0070C0"/>
          <w:sz w:val="28"/>
          <w:szCs w:val="28"/>
        </w:rPr>
        <w:t>]</w:t>
      </w:r>
    </w:p>
    <w:p w14:paraId="19A1A698" w14:textId="5DF70DA2" w:rsidR="008C2314" w:rsidRPr="006751BD" w:rsidRDefault="008C2314" w:rsidP="008C1458">
      <w:pPr>
        <w:spacing w:before="120" w:after="120" w:line="240" w:lineRule="auto"/>
        <w:rPr>
          <w:rFonts w:ascii="Arial" w:eastAsia="SimSun" w:hAnsi="Arial" w:cs="Arial"/>
          <w:b/>
          <w:noProof/>
          <w:color w:val="0071C6"/>
          <w:kern w:val="2"/>
          <w:sz w:val="28"/>
          <w:szCs w:val="28"/>
          <w:lang w:val="en-US" w:eastAsia="zh-CN"/>
        </w:rPr>
      </w:pPr>
      <w:r w:rsidRPr="006751BD">
        <w:rPr>
          <w:rFonts w:ascii="Arial" w:eastAsia="SimSun" w:hAnsi="Arial" w:cs="Arial"/>
          <w:b/>
          <w:noProof/>
          <w:color w:val="0071C6"/>
          <w:kern w:val="2"/>
          <w:sz w:val="28"/>
          <w:szCs w:val="28"/>
          <w:lang w:val="en-US" w:eastAsia="zh-CN"/>
        </w:rPr>
        <w:t>(adapted from NICE guideline  CG</w:t>
      </w:r>
      <w:r w:rsidR="002D1A45" w:rsidRPr="006751BD">
        <w:rPr>
          <w:rFonts w:ascii="Arial" w:eastAsia="SimSun" w:hAnsi="Arial" w:cs="Arial"/>
          <w:b/>
          <w:noProof/>
          <w:color w:val="0071C6"/>
          <w:kern w:val="2"/>
          <w:sz w:val="28"/>
          <w:szCs w:val="28"/>
          <w:lang w:val="en-US" w:eastAsia="zh-CN"/>
        </w:rPr>
        <w:t>113</w:t>
      </w:r>
      <w:r w:rsidR="006120D6">
        <w:rPr>
          <w:rFonts w:ascii="Arial" w:eastAsia="SimSun" w:hAnsi="Arial" w:cs="Arial"/>
          <w:b/>
          <w:noProof/>
          <w:color w:val="0071C6"/>
          <w:kern w:val="2"/>
          <w:sz w:val="28"/>
          <w:szCs w:val="28"/>
          <w:lang w:val="en-US" w:eastAsia="zh-CN"/>
        </w:rPr>
        <w:t xml:space="preserve"> (updated 2020)</w:t>
      </w:r>
      <w:r w:rsidR="00AF7EA8" w:rsidRPr="006751BD">
        <w:rPr>
          <w:rFonts w:ascii="Arial" w:eastAsia="SimSun" w:hAnsi="Arial" w:cs="Arial"/>
          <w:b/>
          <w:noProof/>
          <w:color w:val="0071C6"/>
          <w:kern w:val="2"/>
          <w:sz w:val="28"/>
          <w:szCs w:val="28"/>
          <w:lang w:val="en-US" w:eastAsia="zh-CN"/>
        </w:rPr>
        <w:t xml:space="preserve"> and </w:t>
      </w:r>
      <w:r w:rsidR="00AF7EA8" w:rsidRPr="006751BD">
        <w:rPr>
          <w:rFonts w:ascii="Arial" w:eastAsia="SimSun" w:hAnsi="Arial" w:cs="Arial"/>
          <w:b/>
          <w:noProof/>
          <w:color w:val="0070C0"/>
          <w:kern w:val="2"/>
          <w:sz w:val="28"/>
          <w:szCs w:val="28"/>
          <w:lang w:val="en-US" w:eastAsia="zh-CN"/>
        </w:rPr>
        <w:t>CG159</w:t>
      </w:r>
      <w:r w:rsidRPr="006751BD">
        <w:rPr>
          <w:rFonts w:ascii="Arial" w:eastAsia="SimSun" w:hAnsi="Arial" w:cs="Arial"/>
          <w:b/>
          <w:noProof/>
          <w:color w:val="0070C0"/>
          <w:kern w:val="2"/>
          <w:sz w:val="28"/>
          <w:szCs w:val="28"/>
          <w:lang w:val="en-US" w:eastAsia="zh-CN"/>
        </w:rPr>
        <w:t>)</w:t>
      </w:r>
    </w:p>
    <w:p w14:paraId="0C864781" w14:textId="77777777" w:rsidR="008C2314" w:rsidRPr="006751BD" w:rsidRDefault="008C2314">
      <w:pPr>
        <w:pStyle w:val="ListParagraph"/>
        <w:numPr>
          <w:ilvl w:val="0"/>
          <w:numId w:val="1"/>
        </w:numPr>
        <w:spacing w:before="120" w:after="120" w:line="240" w:lineRule="auto"/>
        <w:contextualSpacing w:val="0"/>
        <w:rPr>
          <w:rFonts w:ascii="Arial" w:hAnsi="Arial" w:cs="Arial"/>
          <w:b/>
          <w:color w:val="0070C0"/>
          <w:sz w:val="24"/>
          <w:szCs w:val="24"/>
        </w:rPr>
      </w:pPr>
      <w:r w:rsidRPr="006751BD">
        <w:rPr>
          <w:rFonts w:ascii="Arial" w:hAnsi="Arial" w:cs="Arial"/>
          <w:b/>
          <w:color w:val="0070C0"/>
          <w:sz w:val="24"/>
          <w:szCs w:val="24"/>
        </w:rPr>
        <w:t>Introduction</w:t>
      </w:r>
    </w:p>
    <w:p w14:paraId="27836541" w14:textId="636BC23E" w:rsidR="00FC7D50" w:rsidRDefault="00FC7D50">
      <w:pPr>
        <w:pStyle w:val="ListParagraph"/>
        <w:spacing w:before="120" w:after="120" w:line="240" w:lineRule="auto"/>
        <w:ind w:left="360"/>
        <w:contextualSpacing w:val="0"/>
        <w:rPr>
          <w:rFonts w:ascii="Arial" w:hAnsi="Arial" w:cs="Arial"/>
          <w:color w:val="000000" w:themeColor="text1"/>
          <w:sz w:val="24"/>
          <w:szCs w:val="24"/>
        </w:rPr>
      </w:pPr>
      <w:r w:rsidRPr="006751BD">
        <w:rPr>
          <w:rFonts w:ascii="Arial" w:hAnsi="Arial" w:cs="Arial"/>
          <w:color w:val="000000" w:themeColor="text1"/>
          <w:sz w:val="24"/>
          <w:szCs w:val="24"/>
        </w:rPr>
        <w:t>These Guidelines are intended for routine use.</w:t>
      </w:r>
      <w:r w:rsidR="00CC1CAC">
        <w:rPr>
          <w:rFonts w:ascii="Arial" w:hAnsi="Arial" w:cs="Arial"/>
          <w:color w:val="000000" w:themeColor="text1"/>
          <w:sz w:val="24"/>
          <w:szCs w:val="24"/>
        </w:rPr>
        <w:t xml:space="preserve"> They are intended primarily in adults, there is a reference to under 18’s in section 2.3.1</w:t>
      </w:r>
      <w:r w:rsidR="00F7636A">
        <w:rPr>
          <w:rFonts w:ascii="Arial" w:hAnsi="Arial" w:cs="Arial"/>
          <w:color w:val="000000" w:themeColor="text1"/>
          <w:sz w:val="24"/>
          <w:szCs w:val="24"/>
        </w:rPr>
        <w:t xml:space="preserve"> in social anxiety</w:t>
      </w:r>
      <w:r w:rsidRPr="006751BD">
        <w:rPr>
          <w:rFonts w:ascii="Arial" w:hAnsi="Arial" w:cs="Arial"/>
          <w:color w:val="000000" w:themeColor="text1"/>
          <w:sz w:val="24"/>
          <w:szCs w:val="24"/>
        </w:rPr>
        <w:t xml:space="preserve"> </w:t>
      </w:r>
      <w:r w:rsidR="008C1458" w:rsidRPr="008C1458">
        <w:rPr>
          <w:rFonts w:ascii="Arial" w:hAnsi="Arial" w:cs="Arial"/>
          <w:color w:val="000000" w:themeColor="text1"/>
          <w:sz w:val="24"/>
          <w:szCs w:val="24"/>
        </w:rPr>
        <w:t>However,</w:t>
      </w:r>
      <w:r w:rsidRPr="006751BD">
        <w:rPr>
          <w:rFonts w:ascii="Arial" w:hAnsi="Arial" w:cs="Arial"/>
          <w:color w:val="000000" w:themeColor="text1"/>
          <w:sz w:val="24"/>
          <w:szCs w:val="24"/>
        </w:rPr>
        <w:t xml:space="preserve"> there will be instances where they are not suitable for the patient you are managing, where more bespoke treatment will be necessary. In such instances </w:t>
      </w:r>
      <w:r w:rsidR="00FB2687" w:rsidRPr="006751BD">
        <w:rPr>
          <w:rFonts w:ascii="Arial" w:hAnsi="Arial" w:cs="Arial"/>
          <w:color w:val="000000" w:themeColor="text1"/>
          <w:sz w:val="24"/>
          <w:szCs w:val="24"/>
        </w:rPr>
        <w:t xml:space="preserve">the </w:t>
      </w:r>
      <w:r w:rsidRPr="006751BD">
        <w:rPr>
          <w:rFonts w:ascii="Arial" w:hAnsi="Arial" w:cs="Arial"/>
          <w:color w:val="000000" w:themeColor="text1"/>
          <w:sz w:val="24"/>
          <w:szCs w:val="24"/>
        </w:rPr>
        <w:t>rationale for prescribing away from formulary must be recorded.</w:t>
      </w:r>
    </w:p>
    <w:p w14:paraId="7C2C9442" w14:textId="09CA7ACE" w:rsidR="00295131" w:rsidRDefault="00295131">
      <w:pPr>
        <w:pStyle w:val="ListParagraph"/>
        <w:spacing w:before="120" w:after="120" w:line="240" w:lineRule="auto"/>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Treatment should be based </w:t>
      </w:r>
      <w:r w:rsidR="006751BD">
        <w:rPr>
          <w:rFonts w:ascii="Arial" w:hAnsi="Arial" w:cs="Arial"/>
          <w:color w:val="000000" w:themeColor="text1"/>
          <w:sz w:val="24"/>
          <w:szCs w:val="24"/>
        </w:rPr>
        <w:t>on individualised</w:t>
      </w:r>
      <w:r>
        <w:rPr>
          <w:rFonts w:ascii="Arial" w:hAnsi="Arial" w:cs="Arial"/>
          <w:color w:val="000000" w:themeColor="text1"/>
          <w:sz w:val="24"/>
          <w:szCs w:val="24"/>
        </w:rPr>
        <w:t xml:space="preserve"> </w:t>
      </w:r>
      <w:r w:rsidR="006751BD">
        <w:rPr>
          <w:rFonts w:ascii="Arial" w:hAnsi="Arial" w:cs="Arial"/>
          <w:color w:val="000000" w:themeColor="text1"/>
          <w:sz w:val="24"/>
          <w:szCs w:val="24"/>
        </w:rPr>
        <w:t>person-centred</w:t>
      </w:r>
      <w:r>
        <w:rPr>
          <w:rFonts w:ascii="Arial" w:hAnsi="Arial" w:cs="Arial"/>
          <w:color w:val="000000" w:themeColor="text1"/>
          <w:sz w:val="24"/>
          <w:szCs w:val="24"/>
        </w:rPr>
        <w:t xml:space="preserve"> care.</w:t>
      </w:r>
    </w:p>
    <w:p w14:paraId="5109B0AC" w14:textId="197E2455" w:rsidR="00295131" w:rsidRDefault="00295131">
      <w:pPr>
        <w:pStyle w:val="ListParagraph"/>
        <w:spacing w:before="120" w:after="120" w:line="240" w:lineRule="auto"/>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Where anxiety is the primary </w:t>
      </w:r>
      <w:r w:rsidR="006751BD">
        <w:rPr>
          <w:rFonts w:ascii="Arial" w:hAnsi="Arial" w:cs="Arial"/>
          <w:color w:val="000000" w:themeColor="text1"/>
          <w:sz w:val="24"/>
          <w:szCs w:val="24"/>
        </w:rPr>
        <w:t>condition,</w:t>
      </w:r>
      <w:r>
        <w:rPr>
          <w:rFonts w:ascii="Arial" w:hAnsi="Arial" w:cs="Arial"/>
          <w:color w:val="000000" w:themeColor="text1"/>
          <w:sz w:val="24"/>
          <w:szCs w:val="24"/>
        </w:rPr>
        <w:t xml:space="preserve"> this should be treated, and other co-morbid conditions as </w:t>
      </w:r>
      <w:r w:rsidR="006751BD">
        <w:rPr>
          <w:rFonts w:ascii="Arial" w:hAnsi="Arial" w:cs="Arial"/>
          <w:color w:val="000000" w:themeColor="text1"/>
          <w:sz w:val="24"/>
          <w:szCs w:val="24"/>
        </w:rPr>
        <w:t>exist.</w:t>
      </w:r>
    </w:p>
    <w:p w14:paraId="73FB7CFB" w14:textId="55C01BA0" w:rsidR="009946D3" w:rsidRDefault="009946D3">
      <w:pPr>
        <w:pStyle w:val="ListParagraph"/>
        <w:spacing w:before="120" w:after="120" w:line="240" w:lineRule="auto"/>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Frith Prescribing Guidelines may be of use when </w:t>
      </w:r>
      <w:r w:rsidR="006751BD">
        <w:rPr>
          <w:rFonts w:ascii="Arial" w:hAnsi="Arial" w:cs="Arial"/>
          <w:color w:val="000000" w:themeColor="text1"/>
          <w:sz w:val="24"/>
          <w:szCs w:val="24"/>
        </w:rPr>
        <w:t>considering managing</w:t>
      </w:r>
      <w:r>
        <w:rPr>
          <w:rFonts w:ascii="Arial" w:hAnsi="Arial" w:cs="Arial"/>
          <w:color w:val="000000" w:themeColor="text1"/>
          <w:sz w:val="24"/>
          <w:szCs w:val="24"/>
        </w:rPr>
        <w:t xml:space="preserve"> patients with intellectual </w:t>
      </w:r>
      <w:r w:rsidR="006751BD">
        <w:rPr>
          <w:rFonts w:ascii="Arial" w:hAnsi="Arial" w:cs="Arial"/>
          <w:color w:val="000000" w:themeColor="text1"/>
          <w:sz w:val="24"/>
          <w:szCs w:val="24"/>
        </w:rPr>
        <w:t>disabilities.</w:t>
      </w:r>
    </w:p>
    <w:p w14:paraId="4ED184F2" w14:textId="38B7C47E" w:rsidR="009946D3" w:rsidRDefault="009946D3">
      <w:pPr>
        <w:pStyle w:val="ListParagraph"/>
        <w:spacing w:before="120" w:after="120" w:line="240" w:lineRule="auto"/>
        <w:ind w:left="360"/>
        <w:contextualSpacing w:val="0"/>
        <w:rPr>
          <w:rFonts w:ascii="Arial" w:hAnsi="Arial" w:cs="Arial"/>
          <w:color w:val="000000" w:themeColor="text1"/>
          <w:sz w:val="24"/>
          <w:szCs w:val="24"/>
        </w:rPr>
      </w:pPr>
      <w:r>
        <w:rPr>
          <w:rFonts w:ascii="Arial" w:hAnsi="Arial" w:cs="Arial"/>
          <w:color w:val="000000" w:themeColor="text1"/>
          <w:sz w:val="24"/>
          <w:szCs w:val="24"/>
        </w:rPr>
        <w:t>When prescribing due consideration should be made as to the traffic light status of the medications involved.  The Integrated Care Board (ICB) website can be consulted for further information.</w:t>
      </w:r>
    </w:p>
    <w:p w14:paraId="7CF9EA10" w14:textId="062D46D2" w:rsidR="009946D3" w:rsidRPr="006751BD" w:rsidRDefault="009946D3">
      <w:pPr>
        <w:pStyle w:val="ListParagraph"/>
        <w:spacing w:before="120" w:after="120" w:line="240" w:lineRule="auto"/>
        <w:ind w:left="360"/>
        <w:contextualSpacing w:val="0"/>
        <w:rPr>
          <w:rFonts w:ascii="Arial" w:hAnsi="Arial" w:cs="Arial"/>
          <w:color w:val="000000" w:themeColor="text1"/>
          <w:sz w:val="24"/>
          <w:szCs w:val="24"/>
        </w:rPr>
      </w:pPr>
      <w:r>
        <w:rPr>
          <w:rFonts w:ascii="Arial" w:hAnsi="Arial" w:cs="Arial"/>
          <w:color w:val="000000" w:themeColor="text1"/>
          <w:sz w:val="24"/>
          <w:szCs w:val="24"/>
        </w:rPr>
        <w:t xml:space="preserve">See tables at the end of the document for a summary of individual </w:t>
      </w:r>
      <w:r w:rsidR="006751BD">
        <w:rPr>
          <w:rFonts w:ascii="Arial" w:hAnsi="Arial" w:cs="Arial"/>
          <w:color w:val="000000" w:themeColor="text1"/>
          <w:sz w:val="24"/>
          <w:szCs w:val="24"/>
        </w:rPr>
        <w:t>medication.</w:t>
      </w:r>
    </w:p>
    <w:p w14:paraId="2C5C1FA3" w14:textId="77777777" w:rsidR="002D1A45" w:rsidRPr="006751BD" w:rsidRDefault="002D1A45">
      <w:pPr>
        <w:widowControl w:val="0"/>
        <w:spacing w:before="120" w:after="120" w:line="240" w:lineRule="auto"/>
        <w:ind w:left="360"/>
        <w:rPr>
          <w:rFonts w:ascii="Arial" w:eastAsia="SimSun" w:hAnsi="Arial" w:cs="Arial"/>
          <w:kern w:val="2"/>
          <w:sz w:val="24"/>
          <w:szCs w:val="24"/>
          <w:lang w:val="en-US" w:eastAsia="zh-CN"/>
        </w:rPr>
      </w:pPr>
      <w:r w:rsidRPr="006751BD">
        <w:rPr>
          <w:rFonts w:ascii="Arial" w:eastAsia="SimSun" w:hAnsi="Arial" w:cs="Arial"/>
          <w:kern w:val="2"/>
          <w:sz w:val="24"/>
          <w:szCs w:val="24"/>
          <w:lang w:val="en-US" w:eastAsia="zh-CN"/>
        </w:rPr>
        <w:t>The advice is split into Generalised Anxiety Disorder (GAD), Social Anxiety Disorder, Panic Disorder, Obsessive Compulsive Disorder and Post Traumatic Disorder (PTSD)</w:t>
      </w:r>
    </w:p>
    <w:p w14:paraId="76E55D91" w14:textId="77777777" w:rsidR="002D1A45" w:rsidRPr="006751BD" w:rsidRDefault="002D1A45">
      <w:pPr>
        <w:widowControl w:val="0"/>
        <w:spacing w:before="120" w:after="120" w:line="240" w:lineRule="auto"/>
        <w:ind w:firstLine="36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NICE guideline suggest a stepped care* approach for managing of anxiety disorders</w:t>
      </w:r>
    </w:p>
    <w:p w14:paraId="58438214" w14:textId="77777777" w:rsidR="002D1A45" w:rsidRPr="006751BD" w:rsidRDefault="002D1A45">
      <w:pPr>
        <w:widowControl w:val="0"/>
        <w:spacing w:before="120" w:after="120" w:line="240" w:lineRule="auto"/>
        <w:ind w:left="72" w:firstLine="288"/>
        <w:rPr>
          <w:rFonts w:ascii="Arial" w:eastAsia="SimSun" w:hAnsi="Arial" w:cs="Arial"/>
          <w:kern w:val="2"/>
          <w:sz w:val="24"/>
          <w:szCs w:val="24"/>
          <w:lang w:val="en-US" w:eastAsia="zh-CN"/>
        </w:rPr>
      </w:pPr>
      <w:r w:rsidRPr="006751BD">
        <w:rPr>
          <w:rFonts w:ascii="Arial" w:eastAsia="SimSun" w:hAnsi="Arial" w:cs="Arial"/>
          <w:i/>
          <w:noProof/>
          <w:color w:val="000000"/>
          <w:kern w:val="2"/>
          <w:sz w:val="24"/>
          <w:szCs w:val="24"/>
          <w:lang w:val="en-US" w:eastAsia="zh-CN"/>
        </w:rPr>
        <w:t>(*Adapted from NICE CG113  Anxiety)</w:t>
      </w:r>
    </w:p>
    <w:p w14:paraId="30E22397" w14:textId="77777777" w:rsidR="002D1A45" w:rsidRPr="006751BD" w:rsidRDefault="002D1A45" w:rsidP="006751BD">
      <w:pPr>
        <w:pStyle w:val="ListParagraph"/>
        <w:widowControl w:val="0"/>
        <w:numPr>
          <w:ilvl w:val="0"/>
          <w:numId w:val="2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b/>
          <w:noProof/>
          <w:color w:val="000000"/>
          <w:kern w:val="2"/>
          <w:sz w:val="24"/>
          <w:szCs w:val="24"/>
          <w:lang w:val="en-US" w:eastAsia="zh-CN"/>
        </w:rPr>
        <w:t>Step 1</w:t>
      </w:r>
      <w:r w:rsidRPr="006751BD">
        <w:rPr>
          <w:rFonts w:ascii="Arial" w:eastAsia="SimSun" w:hAnsi="Arial" w:cs="Arial"/>
          <w:noProof/>
          <w:color w:val="000000"/>
          <w:kern w:val="2"/>
          <w:sz w:val="24"/>
          <w:szCs w:val="24"/>
          <w:lang w:val="en-US" w:eastAsia="zh-CN"/>
        </w:rPr>
        <w:t>: Identification and assessment; education about anxiety disorder and treatment options, active monitoring.</w:t>
      </w:r>
    </w:p>
    <w:p w14:paraId="6E7C2807" w14:textId="77777777" w:rsidR="002D1A45" w:rsidRPr="006751BD" w:rsidRDefault="002D1A45" w:rsidP="006751BD">
      <w:pPr>
        <w:pStyle w:val="ListParagraph"/>
        <w:widowControl w:val="0"/>
        <w:numPr>
          <w:ilvl w:val="0"/>
          <w:numId w:val="2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b/>
          <w:noProof/>
          <w:color w:val="000000"/>
          <w:kern w:val="2"/>
          <w:sz w:val="24"/>
          <w:szCs w:val="24"/>
          <w:lang w:val="en-US" w:eastAsia="zh-CN"/>
        </w:rPr>
        <w:t>Step 2</w:t>
      </w:r>
      <w:r w:rsidRPr="006751BD">
        <w:rPr>
          <w:rFonts w:ascii="Arial" w:eastAsia="SimSun" w:hAnsi="Arial" w:cs="Arial"/>
          <w:noProof/>
          <w:color w:val="000000"/>
          <w:kern w:val="2"/>
          <w:sz w:val="24"/>
          <w:szCs w:val="24"/>
          <w:lang w:val="en-US" w:eastAsia="zh-CN"/>
        </w:rPr>
        <w:t>: Use of low-intensity psychological interventions: individual non-facilitated self-help, individual guded slef help and psycho-educational groups.</w:t>
      </w:r>
    </w:p>
    <w:p w14:paraId="2C187C05" w14:textId="77777777" w:rsidR="002D1A45" w:rsidRPr="006751BD" w:rsidRDefault="002D1A45" w:rsidP="006751BD">
      <w:pPr>
        <w:pStyle w:val="ListParagraph"/>
        <w:widowControl w:val="0"/>
        <w:numPr>
          <w:ilvl w:val="0"/>
          <w:numId w:val="2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b/>
          <w:noProof/>
          <w:color w:val="000000"/>
          <w:kern w:val="2"/>
          <w:sz w:val="24"/>
          <w:szCs w:val="24"/>
          <w:lang w:val="en-US" w:eastAsia="zh-CN"/>
        </w:rPr>
        <w:t>Step 3</w:t>
      </w:r>
      <w:r w:rsidRPr="006751BD">
        <w:rPr>
          <w:rFonts w:ascii="Arial" w:eastAsia="SimSun" w:hAnsi="Arial" w:cs="Arial"/>
          <w:noProof/>
          <w:color w:val="000000"/>
          <w:kern w:val="2"/>
          <w:sz w:val="24"/>
          <w:szCs w:val="24"/>
          <w:lang w:val="en-US" w:eastAsia="zh-CN"/>
        </w:rPr>
        <w:t>: For inadequate response to step 2 interventions or marked functional impairment.  Choice of a high intensity psychological intervention (CBT/applied relaxation) or a drug treatment</w:t>
      </w:r>
    </w:p>
    <w:p w14:paraId="425A9FD0" w14:textId="77777777" w:rsidR="002D1A45" w:rsidRPr="006751BD" w:rsidRDefault="002D1A45" w:rsidP="006751BD">
      <w:pPr>
        <w:pStyle w:val="ListParagraph"/>
        <w:widowControl w:val="0"/>
        <w:numPr>
          <w:ilvl w:val="0"/>
          <w:numId w:val="2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b/>
          <w:noProof/>
          <w:color w:val="000000"/>
          <w:kern w:val="2"/>
          <w:sz w:val="24"/>
          <w:szCs w:val="24"/>
          <w:lang w:val="en-US" w:eastAsia="zh-CN"/>
        </w:rPr>
        <w:t>Step 4</w:t>
      </w:r>
      <w:r w:rsidRPr="006751BD">
        <w:rPr>
          <w:rFonts w:ascii="Arial" w:eastAsia="SimSun" w:hAnsi="Arial" w:cs="Arial"/>
          <w:noProof/>
          <w:color w:val="000000"/>
          <w:kern w:val="2"/>
          <w:sz w:val="24"/>
          <w:szCs w:val="24"/>
          <w:lang w:val="en-US" w:eastAsia="zh-CN"/>
        </w:rPr>
        <w:t>: Complex treatment-refractory anxiety disorder and very marked functional  impairment or a high risk of self harm; requiring highly specialist treatment</w:t>
      </w:r>
    </w:p>
    <w:p w14:paraId="08FA8613" w14:textId="77777777" w:rsidR="008C2314" w:rsidRPr="006751BD" w:rsidRDefault="00FA1923">
      <w:pPr>
        <w:pStyle w:val="ListParagraph"/>
        <w:numPr>
          <w:ilvl w:val="0"/>
          <w:numId w:val="1"/>
        </w:numPr>
        <w:spacing w:before="120" w:after="120" w:line="240" w:lineRule="auto"/>
        <w:contextualSpacing w:val="0"/>
        <w:rPr>
          <w:rFonts w:ascii="Arial" w:hAnsi="Arial" w:cs="Arial"/>
          <w:b/>
          <w:color w:val="0070C0"/>
          <w:sz w:val="24"/>
          <w:szCs w:val="24"/>
        </w:rPr>
      </w:pPr>
      <w:r w:rsidRPr="006751BD">
        <w:rPr>
          <w:rFonts w:ascii="Arial" w:hAnsi="Arial" w:cs="Arial"/>
          <w:b/>
          <w:color w:val="0070C0"/>
          <w:sz w:val="24"/>
          <w:szCs w:val="24"/>
        </w:rPr>
        <w:t xml:space="preserve">Prescribing in </w:t>
      </w:r>
      <w:r w:rsidR="008C2314" w:rsidRPr="006751BD">
        <w:rPr>
          <w:rFonts w:ascii="Arial" w:hAnsi="Arial" w:cs="Arial"/>
          <w:b/>
          <w:color w:val="0070C0"/>
          <w:sz w:val="24"/>
          <w:szCs w:val="24"/>
        </w:rPr>
        <w:t>An</w:t>
      </w:r>
      <w:r w:rsidR="005F5E8F" w:rsidRPr="006751BD">
        <w:rPr>
          <w:rFonts w:ascii="Arial" w:hAnsi="Arial" w:cs="Arial"/>
          <w:b/>
          <w:color w:val="0070C0"/>
          <w:sz w:val="24"/>
          <w:szCs w:val="24"/>
        </w:rPr>
        <w:t>xi</w:t>
      </w:r>
      <w:r w:rsidRPr="006751BD">
        <w:rPr>
          <w:rFonts w:ascii="Arial" w:hAnsi="Arial" w:cs="Arial"/>
          <w:b/>
          <w:color w:val="0070C0"/>
          <w:sz w:val="24"/>
          <w:szCs w:val="24"/>
        </w:rPr>
        <w:t>ety States</w:t>
      </w:r>
      <w:r w:rsidR="008C2314" w:rsidRPr="006751BD">
        <w:rPr>
          <w:rFonts w:ascii="Arial" w:hAnsi="Arial" w:cs="Arial"/>
          <w:b/>
          <w:color w:val="0070C0"/>
          <w:sz w:val="24"/>
          <w:szCs w:val="24"/>
        </w:rPr>
        <w:t xml:space="preserve"> – Key Points </w:t>
      </w:r>
    </w:p>
    <w:p w14:paraId="3D3B299B" w14:textId="6D94B3BC" w:rsidR="005F5E8F" w:rsidRPr="006751BD" w:rsidRDefault="005F5E8F">
      <w:pPr>
        <w:spacing w:before="120" w:after="120" w:line="240" w:lineRule="auto"/>
        <w:rPr>
          <w:rFonts w:ascii="Arial" w:hAnsi="Arial" w:cs="Arial"/>
          <w:bCs/>
          <w:color w:val="0070C0"/>
          <w:sz w:val="24"/>
          <w:szCs w:val="24"/>
        </w:rPr>
      </w:pPr>
      <w:r w:rsidRPr="006751BD">
        <w:rPr>
          <w:rFonts w:ascii="Arial" w:hAnsi="Arial" w:cs="Arial"/>
          <w:bCs/>
          <w:color w:val="0070C0"/>
          <w:sz w:val="24"/>
          <w:szCs w:val="24"/>
        </w:rPr>
        <w:t xml:space="preserve">2.1 Pharmacological Treatments </w:t>
      </w:r>
    </w:p>
    <w:p w14:paraId="21B7EC30"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Pharmacological treatment of anxiety disorders should be considered for severe and persistent symptoms which result in occupational and social disability.</w:t>
      </w:r>
    </w:p>
    <w:p w14:paraId="27ECAEDA"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Psychological interventions should be offered to service users who prefer non-pharmacological treatment or have not benefited from or who are unable to engage with pharmacological interventions.</w:t>
      </w:r>
    </w:p>
    <w:p w14:paraId="3DFCAAA0"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lastRenderedPageBreak/>
        <w:t>The choice of initial treatment should be guided by preference, risks and benefits, side effects, prior treatment history, presence of other physical or psychiatric conditions, suicide risk, potential interaction and cost.</w:t>
      </w:r>
    </w:p>
    <w:p w14:paraId="212A9644"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Discuss the condition and treatment options fully and provide written information.</w:t>
      </w:r>
    </w:p>
    <w:p w14:paraId="79D375E2"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Selective Serotonin Reuptake Inhibitors (SSRIs) are effective for a range of anxiety disorders and are suitable first line treatments.</w:t>
      </w:r>
    </w:p>
    <w:p w14:paraId="405E4E5F" w14:textId="77777777"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Inform service users prescribed antidepressants about a delayed on</w:t>
      </w:r>
      <w:r w:rsidR="00FC7D50" w:rsidRPr="006751BD">
        <w:rPr>
          <w:rFonts w:ascii="Arial" w:hAnsi="Arial" w:cs="Arial"/>
          <w:sz w:val="24"/>
          <w:szCs w:val="24"/>
        </w:rPr>
        <w:t>set of effect (at least 2 weeks</w:t>
      </w:r>
      <w:r w:rsidRPr="006751BD">
        <w:rPr>
          <w:rFonts w:ascii="Arial" w:hAnsi="Arial" w:cs="Arial"/>
          <w:sz w:val="24"/>
          <w:szCs w:val="24"/>
        </w:rPr>
        <w:t>) likely length of treatment and the need to take medication as prescribed.</w:t>
      </w:r>
    </w:p>
    <w:p w14:paraId="7CF1624F" w14:textId="5CAFEA9D" w:rsidR="005F5E8F" w:rsidRPr="006751BD" w:rsidRDefault="005F5E8F" w:rsidP="006751BD">
      <w:pPr>
        <w:pStyle w:val="ListParagraph"/>
        <w:numPr>
          <w:ilvl w:val="0"/>
          <w:numId w:val="29"/>
        </w:numPr>
        <w:spacing w:before="120" w:after="120" w:line="240" w:lineRule="auto"/>
        <w:ind w:left="723"/>
        <w:contextualSpacing w:val="0"/>
        <w:rPr>
          <w:rFonts w:ascii="Arial" w:hAnsi="Arial" w:cs="Arial"/>
          <w:sz w:val="24"/>
          <w:szCs w:val="24"/>
        </w:rPr>
      </w:pPr>
      <w:r w:rsidRPr="006751BD">
        <w:rPr>
          <w:rFonts w:ascii="Arial" w:hAnsi="Arial" w:cs="Arial"/>
          <w:sz w:val="24"/>
          <w:szCs w:val="24"/>
        </w:rPr>
        <w:t xml:space="preserve">Decisions about off-label use of medications for anxiety disorders should be led by </w:t>
      </w:r>
      <w:r w:rsidR="002715AD" w:rsidRPr="006751BD">
        <w:rPr>
          <w:rFonts w:ascii="Arial" w:hAnsi="Arial" w:cs="Arial"/>
          <w:sz w:val="24"/>
          <w:szCs w:val="24"/>
        </w:rPr>
        <w:t>evidence-based</w:t>
      </w:r>
      <w:r w:rsidRPr="006751BD">
        <w:rPr>
          <w:rFonts w:ascii="Arial" w:hAnsi="Arial" w:cs="Arial"/>
          <w:sz w:val="24"/>
          <w:szCs w:val="24"/>
        </w:rPr>
        <w:t xml:space="preserve"> guidelines and clinical experience.  Informed consent for off label use should be gained and documented.</w:t>
      </w:r>
    </w:p>
    <w:p w14:paraId="0CABA431" w14:textId="77777777" w:rsidR="005F5E8F" w:rsidRPr="006751BD" w:rsidRDefault="005F5E8F">
      <w:pPr>
        <w:spacing w:before="120" w:after="120" w:line="240" w:lineRule="auto"/>
        <w:rPr>
          <w:rFonts w:ascii="Arial" w:hAnsi="Arial" w:cs="Arial"/>
          <w:bCs/>
          <w:color w:val="0070C0"/>
          <w:sz w:val="24"/>
          <w:szCs w:val="24"/>
        </w:rPr>
      </w:pPr>
      <w:r w:rsidRPr="006751BD">
        <w:rPr>
          <w:rFonts w:ascii="Arial" w:hAnsi="Arial" w:cs="Arial"/>
          <w:bCs/>
          <w:color w:val="0070C0"/>
          <w:sz w:val="24"/>
          <w:szCs w:val="24"/>
        </w:rPr>
        <w:t xml:space="preserve">2.2 </w:t>
      </w:r>
      <w:r w:rsidR="000F5195" w:rsidRPr="006751BD">
        <w:rPr>
          <w:rFonts w:ascii="Arial" w:hAnsi="Arial" w:cs="Arial"/>
          <w:bCs/>
          <w:color w:val="0070C0"/>
          <w:sz w:val="24"/>
          <w:szCs w:val="24"/>
        </w:rPr>
        <w:t>General Anxiety Disorder (GAD)</w:t>
      </w:r>
    </w:p>
    <w:p w14:paraId="2FC6AE30" w14:textId="77777777" w:rsidR="000F5195" w:rsidRPr="006751BD" w:rsidRDefault="000F5195" w:rsidP="006751BD">
      <w:pPr>
        <w:pStyle w:val="ListParagraph"/>
        <w:widowControl w:val="0"/>
        <w:numPr>
          <w:ilvl w:val="0"/>
          <w:numId w:val="35"/>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NICE advises that pharmacological interventions are </w:t>
      </w:r>
      <w:r w:rsidRPr="006751BD">
        <w:rPr>
          <w:rFonts w:ascii="Arial" w:eastAsia="SimSun" w:hAnsi="Arial" w:cs="Arial"/>
          <w:b/>
          <w:noProof/>
          <w:color w:val="000000"/>
          <w:kern w:val="2"/>
          <w:sz w:val="24"/>
          <w:szCs w:val="24"/>
          <w:lang w:val="en-US" w:eastAsia="zh-CN"/>
        </w:rPr>
        <w:t>only </w:t>
      </w:r>
      <w:r w:rsidRPr="006751BD">
        <w:rPr>
          <w:rFonts w:ascii="Arial" w:eastAsia="SimSun" w:hAnsi="Arial" w:cs="Arial"/>
          <w:noProof/>
          <w:color w:val="000000"/>
          <w:kern w:val="2"/>
          <w:sz w:val="24"/>
          <w:szCs w:val="24"/>
          <w:lang w:val="en-US" w:eastAsia="zh-CN"/>
        </w:rPr>
        <w:t>indicated in people with inadequate response to psychological treatments.</w:t>
      </w:r>
    </w:p>
    <w:p w14:paraId="74153EBA" w14:textId="77777777" w:rsidR="000F5195" w:rsidRPr="006751BD" w:rsidRDefault="000F5195" w:rsidP="006751BD">
      <w:pPr>
        <w:pStyle w:val="ListParagraph"/>
        <w:widowControl w:val="0"/>
        <w:numPr>
          <w:ilvl w:val="0"/>
          <w:numId w:val="35"/>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Use low initial doses of antidepressant and titrate up slowly. Initial worsening of anxiety may be evident.</w:t>
      </w:r>
    </w:p>
    <w:p w14:paraId="6E1456DC" w14:textId="77777777" w:rsidR="000F5195" w:rsidRPr="006751BD" w:rsidRDefault="000F5195" w:rsidP="006751BD">
      <w:pPr>
        <w:pStyle w:val="ListParagraph"/>
        <w:widowControl w:val="0"/>
        <w:numPr>
          <w:ilvl w:val="0"/>
          <w:numId w:val="35"/>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 xml:space="preserve">Antidepressants can take several weeks to have an effect (it usually takes four to six </w:t>
      </w:r>
      <w:r w:rsidR="00FC7D50" w:rsidRPr="006751BD">
        <w:rPr>
          <w:rFonts w:ascii="Arial" w:eastAsia="SimSun" w:hAnsi="Arial" w:cs="Arial"/>
          <w:noProof/>
          <w:color w:val="000000"/>
          <w:kern w:val="2"/>
          <w:sz w:val="24"/>
          <w:szCs w:val="24"/>
          <w:lang w:val="en-US" w:eastAsia="zh-CN"/>
        </w:rPr>
        <w:t xml:space="preserve">weeks </w:t>
      </w:r>
      <w:r w:rsidRPr="006751BD">
        <w:rPr>
          <w:rFonts w:ascii="Arial" w:eastAsia="SimSun" w:hAnsi="Arial" w:cs="Arial"/>
          <w:noProof/>
          <w:color w:val="000000"/>
          <w:kern w:val="2"/>
          <w:sz w:val="24"/>
          <w:szCs w:val="24"/>
          <w:lang w:val="en-US" w:eastAsia="zh-CN"/>
        </w:rPr>
        <w:t>or maximal response to SSRI’s), so initial augmentation with a benzodiazpine may be required, the risks of dependance on benzodiazepines should be clearly explained to the patient.</w:t>
      </w:r>
    </w:p>
    <w:p w14:paraId="66F9532A" w14:textId="77777777" w:rsidR="000F5195" w:rsidRPr="006751BD" w:rsidRDefault="000F5195" w:rsidP="006751BD">
      <w:pPr>
        <w:pStyle w:val="ListParagraph"/>
        <w:widowControl w:val="0"/>
        <w:numPr>
          <w:ilvl w:val="0"/>
          <w:numId w:val="35"/>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For people with GAD, review the effectiveness and side effects of the drug every 2–4 weeks during the first three months of treatment and three monthly thereafter.</w:t>
      </w:r>
    </w:p>
    <w:p w14:paraId="05F86FFE" w14:textId="77777777" w:rsidR="000F5195" w:rsidRPr="006751BD" w:rsidRDefault="000F5195" w:rsidP="006751BD">
      <w:pPr>
        <w:pStyle w:val="ListParagraph"/>
        <w:widowControl w:val="0"/>
        <w:numPr>
          <w:ilvl w:val="0"/>
          <w:numId w:val="35"/>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If treatment is effective and tolerable, continue for at least 1 year as the likelihood of relapse is high.</w:t>
      </w:r>
    </w:p>
    <w:p w14:paraId="6F5DE321" w14:textId="77777777" w:rsidR="000F5195" w:rsidRPr="006751BD" w:rsidRDefault="000F5195">
      <w:pPr>
        <w:spacing w:before="120" w:after="120" w:line="240" w:lineRule="auto"/>
        <w:rPr>
          <w:rFonts w:ascii="Arial" w:hAnsi="Arial" w:cs="Arial"/>
          <w:bCs/>
          <w:color w:val="0070C0"/>
          <w:sz w:val="24"/>
          <w:szCs w:val="24"/>
        </w:rPr>
      </w:pPr>
      <w:r w:rsidRPr="006751BD">
        <w:rPr>
          <w:rFonts w:ascii="Arial" w:hAnsi="Arial" w:cs="Arial"/>
          <w:bCs/>
          <w:color w:val="0070C0"/>
          <w:sz w:val="24"/>
          <w:szCs w:val="24"/>
        </w:rPr>
        <w:t>2.3 Social Anxiety Disorder</w:t>
      </w:r>
    </w:p>
    <w:p w14:paraId="7FDF5136" w14:textId="77777777" w:rsidR="000F67C1" w:rsidRPr="006751BD" w:rsidRDefault="000F5195" w:rsidP="006751BD">
      <w:pPr>
        <w:widowControl w:val="0"/>
        <w:numPr>
          <w:ilvl w:val="0"/>
          <w:numId w:val="31"/>
        </w:numPr>
        <w:spacing w:before="120" w:after="120" w:line="240" w:lineRule="auto"/>
        <w:ind w:left="723"/>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Pharmacological treatment is </w:t>
      </w:r>
      <w:r w:rsidRPr="006751BD">
        <w:rPr>
          <w:rFonts w:ascii="Arial" w:eastAsia="SimSun" w:hAnsi="Arial" w:cs="Arial"/>
          <w:b/>
          <w:noProof/>
          <w:color w:val="000000"/>
          <w:kern w:val="2"/>
          <w:sz w:val="24"/>
          <w:szCs w:val="24"/>
          <w:lang w:val="en-US" w:eastAsia="zh-CN"/>
        </w:rPr>
        <w:t>only</w:t>
      </w:r>
      <w:r w:rsidRPr="006751BD">
        <w:rPr>
          <w:rFonts w:ascii="Arial" w:eastAsia="SimSun" w:hAnsi="Arial" w:cs="Arial"/>
          <w:noProof/>
          <w:color w:val="000000"/>
          <w:kern w:val="2"/>
          <w:sz w:val="24"/>
          <w:szCs w:val="24"/>
          <w:lang w:val="en-US" w:eastAsia="zh-CN"/>
        </w:rPr>
        <w:t> indicated if social anxiety disorder (social phobia) inteferes significantly with social or occcupational activities.</w:t>
      </w:r>
    </w:p>
    <w:p w14:paraId="353B77EF" w14:textId="77777777" w:rsidR="000F67C1" w:rsidRPr="006751BD" w:rsidRDefault="000F5195" w:rsidP="006751BD">
      <w:pPr>
        <w:widowControl w:val="0"/>
        <w:numPr>
          <w:ilvl w:val="0"/>
          <w:numId w:val="31"/>
        </w:numPr>
        <w:spacing w:before="120" w:after="120" w:line="240" w:lineRule="auto"/>
        <w:ind w:left="723"/>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SSRIs are considered to be the drugs of choice for the treatment of social anxiety disorder. Standard antidepressant starting doses are indicated for social phobia</w:t>
      </w:r>
    </w:p>
    <w:p w14:paraId="4574D448" w14:textId="3807A4A8" w:rsidR="000F67C1" w:rsidRPr="006751BD" w:rsidRDefault="000F5195" w:rsidP="006751BD">
      <w:pPr>
        <w:widowControl w:val="0"/>
        <w:numPr>
          <w:ilvl w:val="0"/>
          <w:numId w:val="31"/>
        </w:numPr>
        <w:spacing w:before="120" w:after="120" w:line="240" w:lineRule="auto"/>
        <w:ind w:left="723"/>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Treatment should be continued for at least 1 year and possibly longer in some cases</w:t>
      </w:r>
    </w:p>
    <w:p w14:paraId="2E009A6F" w14:textId="77777777" w:rsidR="000F5195" w:rsidRPr="006751BD" w:rsidRDefault="000F5195" w:rsidP="006751BD">
      <w:pPr>
        <w:widowControl w:val="0"/>
        <w:numPr>
          <w:ilvl w:val="0"/>
          <w:numId w:val="31"/>
        </w:numPr>
        <w:spacing w:before="120" w:after="120" w:line="240" w:lineRule="auto"/>
        <w:ind w:left="723"/>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Co-morbidities e.g. depression, alcohol and substance misuse should be managed.</w:t>
      </w:r>
    </w:p>
    <w:p w14:paraId="68316AB7" w14:textId="77777777" w:rsidR="00737011" w:rsidRPr="006751BD" w:rsidRDefault="00737011" w:rsidP="006751BD">
      <w:pPr>
        <w:pStyle w:val="ListParagraph"/>
        <w:widowControl w:val="0"/>
        <w:numPr>
          <w:ilvl w:val="0"/>
          <w:numId w:val="31"/>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hAnsi="Arial" w:cs="Arial"/>
          <w:sz w:val="24"/>
          <w:szCs w:val="24"/>
          <w:lang w:eastAsia="en-GB"/>
        </w:rPr>
        <w:t>Do not offer St John's wort or other over-the-counter medications and preparations for anxiety to treat social anxiety disorder. Explain the potential interactions with other prescribed and over-the-counter medications and the lack of evidence to support their safe use</w:t>
      </w:r>
    </w:p>
    <w:p w14:paraId="55A806E1" w14:textId="77777777" w:rsidR="00737011" w:rsidRPr="006751BD" w:rsidRDefault="00737011">
      <w:pPr>
        <w:autoSpaceDE w:val="0"/>
        <w:autoSpaceDN w:val="0"/>
        <w:adjustRightInd w:val="0"/>
        <w:spacing w:before="120" w:after="120" w:line="240" w:lineRule="auto"/>
        <w:rPr>
          <w:rFonts w:ascii="Arial" w:hAnsi="Arial" w:cs="Arial"/>
          <w:bCs/>
          <w:color w:val="0070C0"/>
          <w:sz w:val="24"/>
          <w:szCs w:val="24"/>
          <w:lang w:eastAsia="en-GB"/>
        </w:rPr>
      </w:pPr>
      <w:r w:rsidRPr="006751BD">
        <w:rPr>
          <w:rFonts w:ascii="Arial" w:hAnsi="Arial" w:cs="Arial"/>
          <w:bCs/>
          <w:color w:val="0070C0"/>
          <w:sz w:val="24"/>
          <w:szCs w:val="24"/>
          <w:lang w:eastAsia="en-GB"/>
        </w:rPr>
        <w:t>2.3.1 CAMHS</w:t>
      </w:r>
      <w:r w:rsidR="00AF664D" w:rsidRPr="006751BD">
        <w:rPr>
          <w:rFonts w:ascii="Arial" w:hAnsi="Arial" w:cs="Arial"/>
          <w:bCs/>
          <w:color w:val="0070C0"/>
          <w:sz w:val="24"/>
          <w:szCs w:val="24"/>
          <w:lang w:eastAsia="en-GB"/>
        </w:rPr>
        <w:t xml:space="preserve"> Social Anxiety Disorder</w:t>
      </w:r>
    </w:p>
    <w:p w14:paraId="2A1CC918" w14:textId="77777777" w:rsidR="00737011" w:rsidRPr="006751BD" w:rsidRDefault="00737011" w:rsidP="006751BD">
      <w:pPr>
        <w:pStyle w:val="ListParagraph"/>
        <w:numPr>
          <w:ilvl w:val="0"/>
          <w:numId w:val="31"/>
        </w:numPr>
        <w:autoSpaceDE w:val="0"/>
        <w:autoSpaceDN w:val="0"/>
        <w:adjustRightInd w:val="0"/>
        <w:spacing w:before="120" w:after="120" w:line="240" w:lineRule="auto"/>
        <w:ind w:left="723"/>
        <w:contextualSpacing w:val="0"/>
        <w:rPr>
          <w:rFonts w:ascii="Arial" w:hAnsi="Arial" w:cs="Arial"/>
          <w:sz w:val="24"/>
          <w:szCs w:val="24"/>
          <w:lang w:eastAsia="en-GB"/>
        </w:rPr>
      </w:pPr>
      <w:r w:rsidRPr="006751BD">
        <w:rPr>
          <w:rFonts w:ascii="Arial" w:hAnsi="Arial" w:cs="Arial"/>
          <w:sz w:val="24"/>
          <w:szCs w:val="24"/>
          <w:lang w:eastAsia="en-GB"/>
        </w:rPr>
        <w:t>Do not routinely offer pharmacological interventions to treat social anxiety disorder in children and young people.</w:t>
      </w:r>
      <w:r w:rsidR="00AF7EA8" w:rsidRPr="006751BD">
        <w:rPr>
          <w:rFonts w:ascii="Arial" w:hAnsi="Arial" w:cs="Arial"/>
          <w:sz w:val="24"/>
          <w:szCs w:val="24"/>
          <w:lang w:eastAsia="en-GB"/>
        </w:rPr>
        <w:t xml:space="preserve"> (NICE CG159)</w:t>
      </w:r>
    </w:p>
    <w:p w14:paraId="792C1A63" w14:textId="18449C99" w:rsidR="000F5195" w:rsidRPr="006751BD" w:rsidRDefault="000F5195">
      <w:pPr>
        <w:spacing w:before="120" w:after="120" w:line="240" w:lineRule="auto"/>
        <w:rPr>
          <w:rFonts w:ascii="Arial" w:eastAsia="SimSun" w:hAnsi="Arial" w:cs="Arial"/>
          <w:bCs/>
          <w:noProof/>
          <w:color w:val="0070C0"/>
          <w:kern w:val="2"/>
          <w:sz w:val="24"/>
          <w:szCs w:val="24"/>
          <w:lang w:val="en-US" w:eastAsia="zh-CN"/>
        </w:rPr>
      </w:pPr>
      <w:r w:rsidRPr="006751BD">
        <w:rPr>
          <w:rFonts w:ascii="Arial" w:hAnsi="Arial" w:cs="Arial"/>
          <w:bCs/>
          <w:color w:val="0070C0"/>
          <w:sz w:val="24"/>
          <w:szCs w:val="24"/>
        </w:rPr>
        <w:t>2.4 Panic Disorder with or without Agoraphobia</w:t>
      </w:r>
    </w:p>
    <w:p w14:paraId="2BFD3224"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Pharmacologic therapy may be considered if behavioural or cognitive therapy fails.</w:t>
      </w:r>
    </w:p>
    <w:p w14:paraId="2B795164"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 xml:space="preserve">Use low initial doses of antidepressant and titrate up slowly, Higher doses may be necessary if standard doses are ineffective. </w:t>
      </w:r>
    </w:p>
    <w:p w14:paraId="683439A6"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lastRenderedPageBreak/>
        <w:t>There may be an initial exacerbation of anxiety and panic symptoms.</w:t>
      </w:r>
    </w:p>
    <w:p w14:paraId="36948AB8"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It can take several weeks before the effects of antidepressants are evident.</w:t>
      </w:r>
    </w:p>
    <w:p w14:paraId="7B9A8085"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When new medication is started, efficacy and side-effects should be reviewed within 2 weeks of initiation and again at 4, 6 and 12 weeks.</w:t>
      </w:r>
    </w:p>
    <w:p w14:paraId="714159B0"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If there is no improvement after 12 weeks, switch to an alternative antidepressant, if assured compliance has been good.</w:t>
      </w:r>
    </w:p>
    <w:p w14:paraId="731A9A03"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Remission of symptoms may take up to 6 months or longer (including 4–6 weeks at the highest comfortably tolerated dose).</w:t>
      </w:r>
    </w:p>
    <w:p w14:paraId="5E9366A4"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noProof/>
          <w:color w:val="000000"/>
          <w:kern w:val="2"/>
          <w:sz w:val="24"/>
          <w:szCs w:val="24"/>
          <w:lang w:val="en-US" w:eastAsia="zh-CN"/>
        </w:rPr>
        <w:t>Medication should be continued for 6 months to 1 year after acute response to reduce the risk of recurrence.  Long-term treatment may be necessary for some people, and should be available if indicated.</w:t>
      </w:r>
    </w:p>
    <w:p w14:paraId="57D57DAA" w14:textId="77777777" w:rsidR="000F5195" w:rsidRPr="006751BD" w:rsidRDefault="000F5195" w:rsidP="006751BD">
      <w:pPr>
        <w:pStyle w:val="ListParagraph"/>
        <w:widowControl w:val="0"/>
        <w:numPr>
          <w:ilvl w:val="0"/>
          <w:numId w:val="36"/>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noProof/>
          <w:color w:val="000000"/>
          <w:kern w:val="2"/>
          <w:sz w:val="24"/>
          <w:szCs w:val="24"/>
          <w:lang w:val="en-US" w:eastAsia="zh-CN"/>
        </w:rPr>
        <w:t>Antidepressants for panic disorder should be discontinued over at least 4 weeks</w:t>
      </w:r>
    </w:p>
    <w:p w14:paraId="00A5DB9C" w14:textId="77777777" w:rsidR="000F5195" w:rsidRPr="006751BD" w:rsidRDefault="000F5195">
      <w:pPr>
        <w:spacing w:before="120" w:after="120" w:line="240" w:lineRule="auto"/>
        <w:rPr>
          <w:rFonts w:ascii="Arial" w:hAnsi="Arial" w:cs="Arial"/>
          <w:bCs/>
          <w:color w:val="0070C0"/>
          <w:sz w:val="24"/>
          <w:szCs w:val="24"/>
        </w:rPr>
      </w:pPr>
      <w:r w:rsidRPr="006751BD">
        <w:rPr>
          <w:rFonts w:ascii="Arial" w:hAnsi="Arial" w:cs="Arial"/>
          <w:bCs/>
          <w:color w:val="0070C0"/>
          <w:sz w:val="24"/>
          <w:szCs w:val="24"/>
        </w:rPr>
        <w:t>2.5 Obsessive Compulsive Disorder</w:t>
      </w:r>
    </w:p>
    <w:p w14:paraId="75E6A2C5" w14:textId="77777777" w:rsidR="000F5195" w:rsidRPr="006751BD" w:rsidRDefault="000F5195" w:rsidP="006751BD">
      <w:pPr>
        <w:pStyle w:val="ListParagraph"/>
        <w:widowControl w:val="0"/>
        <w:numPr>
          <w:ilvl w:val="0"/>
          <w:numId w:val="3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Offer drug treatment to those with poor response to psychological interventions.</w:t>
      </w:r>
    </w:p>
    <w:p w14:paraId="2BFF5B20" w14:textId="77777777" w:rsidR="000F5195" w:rsidRPr="006751BD" w:rsidRDefault="000F5195" w:rsidP="006751BD">
      <w:pPr>
        <w:pStyle w:val="ListParagraph"/>
        <w:widowControl w:val="0"/>
        <w:numPr>
          <w:ilvl w:val="0"/>
          <w:numId w:val="3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A combination of pharmacological, behavioural, and psychosocial methods appears to have the most successful long term outcome.</w:t>
      </w:r>
    </w:p>
    <w:p w14:paraId="7E57ADDE" w14:textId="77777777" w:rsidR="000F5195" w:rsidRPr="006751BD" w:rsidRDefault="000F5195" w:rsidP="006751BD">
      <w:pPr>
        <w:pStyle w:val="ListParagraph"/>
        <w:widowControl w:val="0"/>
        <w:numPr>
          <w:ilvl w:val="0"/>
          <w:numId w:val="3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Doses at the upper end of the indicated dose range may be necessary.</w:t>
      </w:r>
    </w:p>
    <w:p w14:paraId="04B61649" w14:textId="1B384BB6" w:rsidR="000F5195" w:rsidRPr="006751BD" w:rsidRDefault="000F5195" w:rsidP="006751BD">
      <w:pPr>
        <w:pStyle w:val="ListParagraph"/>
        <w:widowControl w:val="0"/>
        <w:numPr>
          <w:ilvl w:val="0"/>
          <w:numId w:val="3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Most people will not experience substantial improvement until 4-6 weeks after starting medication, and others may show little improvement in the intial 12 weeks.</w:t>
      </w:r>
    </w:p>
    <w:p w14:paraId="5881B314" w14:textId="77777777" w:rsidR="000F5195" w:rsidRPr="006751BD" w:rsidRDefault="000F5195" w:rsidP="006751BD">
      <w:pPr>
        <w:pStyle w:val="ListParagraph"/>
        <w:widowControl w:val="0"/>
        <w:numPr>
          <w:ilvl w:val="0"/>
          <w:numId w:val="37"/>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 xml:space="preserve">If successful, treatment should be continued for 1 – 2 years before considering a gradual withdrawal over 1-2 months, whilst monitoring for any recurrence or relapse.  However most will require long term treatment. </w:t>
      </w:r>
    </w:p>
    <w:p w14:paraId="172D502A" w14:textId="77777777" w:rsidR="000F5195" w:rsidRPr="006751BD" w:rsidRDefault="000F5195">
      <w:pPr>
        <w:spacing w:before="120" w:after="120" w:line="240" w:lineRule="auto"/>
        <w:rPr>
          <w:rFonts w:ascii="Arial" w:hAnsi="Arial" w:cs="Arial"/>
          <w:bCs/>
          <w:color w:val="0070C0"/>
          <w:sz w:val="24"/>
          <w:szCs w:val="24"/>
        </w:rPr>
      </w:pPr>
      <w:r w:rsidRPr="006751BD">
        <w:rPr>
          <w:rFonts w:ascii="Arial" w:hAnsi="Arial" w:cs="Arial"/>
          <w:bCs/>
          <w:color w:val="0070C0"/>
          <w:sz w:val="24"/>
          <w:szCs w:val="24"/>
        </w:rPr>
        <w:t>2.6 Post-Traumatic Stress Disorder</w:t>
      </w:r>
    </w:p>
    <w:p w14:paraId="40690BD0" w14:textId="77777777" w:rsidR="000F5195" w:rsidRPr="006751BD" w:rsidRDefault="000F5195" w:rsidP="006751BD">
      <w:pPr>
        <w:pStyle w:val="ListParagraph"/>
        <w:widowControl w:val="0"/>
        <w:numPr>
          <w:ilvl w:val="0"/>
          <w:numId w:val="38"/>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Pharmacological treatments should be offered to people who cannot start a psychological therapy or who have gained minimal benefit from it.</w:t>
      </w:r>
    </w:p>
    <w:p w14:paraId="18F71005" w14:textId="77777777" w:rsidR="000F5195" w:rsidRPr="006751BD" w:rsidRDefault="000F5195" w:rsidP="006751BD">
      <w:pPr>
        <w:pStyle w:val="ListParagraph"/>
        <w:widowControl w:val="0"/>
        <w:numPr>
          <w:ilvl w:val="0"/>
          <w:numId w:val="38"/>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Drug therapy is largely aimed at accompanying symptoms of anxiety or depression NICE recommends the use of paroxetine, mirtazapine, amitriptyline or phenelzine.</w:t>
      </w:r>
    </w:p>
    <w:p w14:paraId="592E410B" w14:textId="77777777" w:rsidR="000F5195" w:rsidRPr="006751BD" w:rsidRDefault="000F5195" w:rsidP="006751BD">
      <w:pPr>
        <w:pStyle w:val="ListParagraph"/>
        <w:widowControl w:val="0"/>
        <w:numPr>
          <w:ilvl w:val="0"/>
          <w:numId w:val="38"/>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Lower initial dose are recommended although higher target doses (within approved limits) may be necessary for full effect.</w:t>
      </w:r>
    </w:p>
    <w:p w14:paraId="5E8229CC" w14:textId="2970B799" w:rsidR="000F5195" w:rsidRPr="006751BD" w:rsidRDefault="000F5195" w:rsidP="006751BD">
      <w:pPr>
        <w:pStyle w:val="ListParagraph"/>
        <w:widowControl w:val="0"/>
        <w:numPr>
          <w:ilvl w:val="0"/>
          <w:numId w:val="38"/>
        </w:numPr>
        <w:spacing w:before="120" w:after="120" w:line="240" w:lineRule="auto"/>
        <w:ind w:left="723"/>
        <w:contextualSpacing w:val="0"/>
        <w:rPr>
          <w:rFonts w:ascii="Arial" w:eastAsia="SimSun" w:hAnsi="Arial" w:cs="Arial"/>
          <w:kern w:val="2"/>
          <w:sz w:val="24"/>
          <w:szCs w:val="24"/>
          <w:lang w:val="en-US" w:eastAsia="zh-CN"/>
        </w:rPr>
      </w:pPr>
      <w:r w:rsidRPr="006751BD">
        <w:rPr>
          <w:rFonts w:ascii="Arial" w:eastAsia="SimSun" w:hAnsi="Arial" w:cs="Arial"/>
          <w:noProof/>
          <w:color w:val="000000"/>
          <w:kern w:val="2"/>
          <w:sz w:val="24"/>
          <w:szCs w:val="24"/>
          <w:lang w:val="en-US" w:eastAsia="zh-CN"/>
        </w:rPr>
        <w:t>Treatment periods of 8- 12 weeks are needed to assess efficacy, if a good response occurs treat for a period of 12 months, before considering a gradual withdrawal.</w:t>
      </w:r>
    </w:p>
    <w:p w14:paraId="644043EB" w14:textId="3624D5FB" w:rsidR="00D8674C" w:rsidRPr="006751BD" w:rsidRDefault="001E35AC" w:rsidP="006751BD">
      <w:pPr>
        <w:pStyle w:val="ListParagraph"/>
        <w:widowControl w:val="0"/>
        <w:numPr>
          <w:ilvl w:val="1"/>
          <w:numId w:val="48"/>
        </w:numPr>
        <w:spacing w:before="120" w:after="120" w:line="240" w:lineRule="auto"/>
        <w:contextualSpacing w:val="0"/>
        <w:rPr>
          <w:rFonts w:ascii="Arial" w:eastAsia="SimSun" w:hAnsi="Arial" w:cs="Arial"/>
          <w:color w:val="548DD4" w:themeColor="text2" w:themeTint="99"/>
          <w:kern w:val="2"/>
          <w:sz w:val="24"/>
          <w:szCs w:val="24"/>
          <w:lang w:val="en-US" w:eastAsia="zh-CN"/>
        </w:rPr>
      </w:pPr>
      <w:r>
        <w:rPr>
          <w:rFonts w:ascii="Arial" w:eastAsia="SimSun" w:hAnsi="Arial" w:cs="Arial"/>
          <w:color w:val="548DD4" w:themeColor="text2" w:themeTint="99"/>
          <w:kern w:val="2"/>
          <w:sz w:val="24"/>
          <w:szCs w:val="24"/>
          <w:lang w:val="en-US" w:eastAsia="zh-CN"/>
        </w:rPr>
        <w:t xml:space="preserve"> </w:t>
      </w:r>
      <w:r w:rsidR="00D8674C" w:rsidRPr="006751BD">
        <w:rPr>
          <w:rFonts w:ascii="Arial" w:eastAsia="SimSun" w:hAnsi="Arial" w:cs="Arial"/>
          <w:color w:val="548DD4" w:themeColor="text2" w:themeTint="99"/>
          <w:kern w:val="2"/>
          <w:sz w:val="24"/>
          <w:szCs w:val="24"/>
          <w:lang w:val="en-US" w:eastAsia="zh-CN"/>
        </w:rPr>
        <w:t>Benzodiazepines</w:t>
      </w:r>
    </w:p>
    <w:p w14:paraId="3AC83A45" w14:textId="4E2AAE9E" w:rsidR="00D8674C" w:rsidRPr="006751BD" w:rsidRDefault="00D8674C" w:rsidP="006751BD">
      <w:pPr>
        <w:pStyle w:val="ListParagraph"/>
        <w:widowControl w:val="0"/>
        <w:numPr>
          <w:ilvl w:val="0"/>
          <w:numId w:val="49"/>
        </w:numPr>
        <w:spacing w:before="120" w:after="120" w:line="240" w:lineRule="auto"/>
        <w:ind w:left="714" w:hanging="357"/>
        <w:contextualSpacing w:val="0"/>
        <w:rPr>
          <w:rFonts w:ascii="Arial" w:eastAsia="SimSun" w:hAnsi="Arial" w:cs="Arial"/>
          <w:kern w:val="2"/>
          <w:sz w:val="24"/>
          <w:szCs w:val="24"/>
          <w:lang w:val="en-US" w:eastAsia="zh-CN"/>
        </w:rPr>
      </w:pPr>
      <w:r w:rsidRPr="006751BD">
        <w:rPr>
          <w:rFonts w:ascii="Arial" w:eastAsia="SimSun" w:hAnsi="Arial" w:cs="Arial"/>
          <w:kern w:val="2"/>
          <w:sz w:val="24"/>
          <w:szCs w:val="24"/>
          <w:lang w:val="en-US" w:eastAsia="zh-CN"/>
        </w:rPr>
        <w:t>Whilst benzodiazepines are recommended for short term use there will be situation</w:t>
      </w:r>
      <w:r w:rsidR="0051214E" w:rsidRPr="006751BD">
        <w:rPr>
          <w:rFonts w:ascii="Arial" w:eastAsia="SimSun" w:hAnsi="Arial" w:cs="Arial"/>
          <w:kern w:val="2"/>
          <w:sz w:val="24"/>
          <w:szCs w:val="24"/>
          <w:lang w:val="en-US" w:eastAsia="zh-CN"/>
        </w:rPr>
        <w:t xml:space="preserve">s </w:t>
      </w:r>
      <w:r w:rsidRPr="006751BD">
        <w:rPr>
          <w:rFonts w:ascii="Arial" w:eastAsia="SimSun" w:hAnsi="Arial" w:cs="Arial"/>
          <w:kern w:val="2"/>
          <w:sz w:val="24"/>
          <w:szCs w:val="24"/>
          <w:lang w:val="en-US" w:eastAsia="zh-CN"/>
        </w:rPr>
        <w:t xml:space="preserve">where people may have been them </w:t>
      </w:r>
      <w:r w:rsidR="0051214E" w:rsidRPr="006751BD">
        <w:rPr>
          <w:rFonts w:ascii="Arial" w:eastAsia="SimSun" w:hAnsi="Arial" w:cs="Arial"/>
          <w:kern w:val="2"/>
          <w:sz w:val="24"/>
          <w:szCs w:val="24"/>
          <w:lang w:val="en-US" w:eastAsia="zh-CN"/>
        </w:rPr>
        <w:t>for some</w:t>
      </w:r>
      <w:r w:rsidR="00154295" w:rsidRPr="006751BD">
        <w:rPr>
          <w:rFonts w:ascii="Arial" w:eastAsia="SimSun" w:hAnsi="Arial" w:cs="Arial"/>
          <w:kern w:val="2"/>
          <w:sz w:val="24"/>
          <w:szCs w:val="24"/>
          <w:lang w:val="en-US" w:eastAsia="zh-CN"/>
        </w:rPr>
        <w:t xml:space="preserve"> time</w:t>
      </w:r>
      <w:r w:rsidR="0051214E" w:rsidRPr="006751BD">
        <w:rPr>
          <w:rFonts w:ascii="Arial" w:eastAsia="SimSun" w:hAnsi="Arial" w:cs="Arial"/>
          <w:kern w:val="2"/>
          <w:sz w:val="24"/>
          <w:szCs w:val="24"/>
          <w:lang w:val="en-US" w:eastAsia="zh-CN"/>
        </w:rPr>
        <w:t xml:space="preserve">.  The following guidance covers the prescribing, monitoring and </w:t>
      </w:r>
      <w:r w:rsidR="008C1458" w:rsidRPr="006751BD">
        <w:rPr>
          <w:rFonts w:ascii="Arial" w:eastAsia="SimSun" w:hAnsi="Arial" w:cs="Arial"/>
          <w:kern w:val="2"/>
          <w:sz w:val="24"/>
          <w:szCs w:val="24"/>
          <w:lang w:val="en-US" w:eastAsia="zh-CN"/>
        </w:rPr>
        <w:t>discontinuation of</w:t>
      </w:r>
      <w:r w:rsidR="0051214E" w:rsidRPr="006751BD">
        <w:rPr>
          <w:rFonts w:ascii="Arial" w:eastAsia="SimSun" w:hAnsi="Arial" w:cs="Arial"/>
          <w:kern w:val="2"/>
          <w:sz w:val="24"/>
          <w:szCs w:val="24"/>
          <w:lang w:val="en-US" w:eastAsia="zh-CN"/>
        </w:rPr>
        <w:t xml:space="preserve"> these agents</w:t>
      </w:r>
      <w:r w:rsidR="001F2C10" w:rsidRPr="006751BD">
        <w:rPr>
          <w:rFonts w:ascii="Arial" w:eastAsia="SimSun" w:hAnsi="Arial" w:cs="Arial"/>
          <w:kern w:val="2"/>
          <w:sz w:val="24"/>
          <w:szCs w:val="24"/>
          <w:lang w:val="en-US" w:eastAsia="zh-CN"/>
        </w:rPr>
        <w:t>, due to the risks of dependance and withdrawal</w:t>
      </w:r>
      <w:r w:rsidR="0051214E" w:rsidRPr="006751BD">
        <w:rPr>
          <w:rFonts w:ascii="Arial" w:eastAsia="SimSun" w:hAnsi="Arial" w:cs="Arial"/>
          <w:kern w:val="2"/>
          <w:sz w:val="24"/>
          <w:szCs w:val="24"/>
          <w:lang w:val="en-US" w:eastAsia="zh-CN"/>
        </w:rPr>
        <w:t>.</w:t>
      </w:r>
    </w:p>
    <w:p w14:paraId="414B9F03" w14:textId="32650833" w:rsidR="001F2C10" w:rsidRPr="006751BD" w:rsidRDefault="001F2C10" w:rsidP="006751BD">
      <w:pPr>
        <w:pStyle w:val="ListParagraph"/>
        <w:widowControl w:val="0"/>
        <w:numPr>
          <w:ilvl w:val="1"/>
          <w:numId w:val="38"/>
        </w:numPr>
        <w:spacing w:before="120" w:after="120" w:line="240" w:lineRule="auto"/>
        <w:contextualSpacing w:val="0"/>
        <w:rPr>
          <w:rFonts w:ascii="Arial" w:eastAsia="SimSun" w:hAnsi="Arial" w:cs="Arial"/>
          <w:kern w:val="2"/>
          <w:sz w:val="24"/>
          <w:szCs w:val="24"/>
          <w:lang w:val="en-US" w:eastAsia="zh-CN"/>
        </w:rPr>
      </w:pPr>
      <w:r w:rsidRPr="006751BD">
        <w:rPr>
          <w:rFonts w:ascii="Arial" w:eastAsia="SimSun" w:hAnsi="Arial" w:cs="Arial"/>
          <w:kern w:val="2"/>
          <w:sz w:val="24"/>
          <w:szCs w:val="24"/>
          <w:lang w:val="en-US" w:eastAsia="zh-CN"/>
        </w:rPr>
        <w:t xml:space="preserve">See </w:t>
      </w:r>
      <w:hyperlink r:id="rId9" w:history="1">
        <w:r w:rsidRPr="006751BD">
          <w:rPr>
            <w:rStyle w:val="Hyperlink"/>
            <w:rFonts w:ascii="Arial" w:eastAsia="SimSun" w:hAnsi="Arial" w:cs="Arial"/>
            <w:kern w:val="2"/>
            <w:sz w:val="24"/>
            <w:szCs w:val="24"/>
            <w:lang w:val="en-US" w:eastAsia="zh-CN"/>
          </w:rPr>
          <w:t>NICE NG215</w:t>
        </w:r>
      </w:hyperlink>
      <w:r w:rsidRPr="006751BD">
        <w:rPr>
          <w:rFonts w:ascii="Arial" w:eastAsia="SimSun" w:hAnsi="Arial" w:cs="Arial"/>
          <w:kern w:val="2"/>
          <w:sz w:val="24"/>
          <w:szCs w:val="24"/>
          <w:lang w:val="en-US" w:eastAsia="zh-CN"/>
        </w:rPr>
        <w:t xml:space="preserve"> for </w:t>
      </w:r>
      <w:r w:rsidR="006751BD" w:rsidRPr="006751BD">
        <w:rPr>
          <w:rFonts w:ascii="Arial" w:eastAsia="SimSun" w:hAnsi="Arial" w:cs="Arial"/>
          <w:kern w:val="2"/>
          <w:sz w:val="24"/>
          <w:szCs w:val="24"/>
          <w:lang w:val="en-US" w:eastAsia="zh-CN"/>
        </w:rPr>
        <w:t>details.</w:t>
      </w:r>
    </w:p>
    <w:p w14:paraId="5C332EDB" w14:textId="77777777" w:rsidR="008C2314" w:rsidRPr="006751BD" w:rsidRDefault="008C2314" w:rsidP="008C1458">
      <w:pPr>
        <w:pStyle w:val="ListParagraph"/>
        <w:numPr>
          <w:ilvl w:val="0"/>
          <w:numId w:val="1"/>
        </w:numPr>
        <w:spacing w:before="120" w:after="120" w:line="240" w:lineRule="auto"/>
        <w:contextualSpacing w:val="0"/>
        <w:rPr>
          <w:rFonts w:ascii="Arial" w:hAnsi="Arial" w:cs="Arial"/>
          <w:b/>
          <w:color w:val="0070C0"/>
          <w:sz w:val="24"/>
          <w:szCs w:val="24"/>
        </w:rPr>
      </w:pPr>
      <w:r w:rsidRPr="006751BD">
        <w:rPr>
          <w:rFonts w:ascii="Arial" w:hAnsi="Arial" w:cs="Arial"/>
          <w:b/>
          <w:color w:val="0070C0"/>
          <w:sz w:val="24"/>
          <w:szCs w:val="24"/>
        </w:rPr>
        <w:t>Side-effects and Interactions</w:t>
      </w:r>
    </w:p>
    <w:p w14:paraId="458D05F0" w14:textId="77777777" w:rsidR="00FA1923" w:rsidRPr="006751BD" w:rsidRDefault="00FA1923" w:rsidP="006751BD">
      <w:pPr>
        <w:pStyle w:val="ListParagraph"/>
        <w:widowControl w:val="0"/>
        <w:numPr>
          <w:ilvl w:val="0"/>
          <w:numId w:val="40"/>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SSRIs</w:t>
      </w:r>
      <w:r w:rsidRPr="006751BD">
        <w:rPr>
          <w:rFonts w:ascii="Arial" w:eastAsia="SimSun" w:hAnsi="Arial" w:cs="Arial"/>
          <w:noProof/>
          <w:color w:val="000000"/>
          <w:kern w:val="2"/>
          <w:sz w:val="24"/>
          <w:szCs w:val="24"/>
          <w:lang w:val="en-US" w:eastAsia="zh-CN"/>
        </w:rPr>
        <w:t xml:space="preserve"> are better tolerated and safer in overdose than other antidepressants.Common side effects of SSRIs are headache, nausea, and anxiety/agitation, especially when starting treament usuuallly settle on continued treatment Other side effects are insomnia, tremor, akathisia, sweating, paraethesias, sexual dysfunction, including </w:t>
      </w:r>
      <w:r w:rsidRPr="006751BD">
        <w:rPr>
          <w:rFonts w:ascii="Arial" w:eastAsia="SimSun" w:hAnsi="Arial" w:cs="Arial"/>
          <w:noProof/>
          <w:color w:val="000000"/>
          <w:kern w:val="2"/>
          <w:sz w:val="24"/>
          <w:szCs w:val="24"/>
          <w:lang w:val="en-US" w:eastAsia="zh-CN"/>
        </w:rPr>
        <w:lastRenderedPageBreak/>
        <w:t xml:space="preserve">diminished libido and difficulty with erection and orgasm, muscle/joint pain, weight gain and manic or psychotic symptoms </w:t>
      </w:r>
    </w:p>
    <w:p w14:paraId="2C1A70A9" w14:textId="77777777" w:rsidR="00FA1923" w:rsidRPr="006751BD" w:rsidRDefault="00FA1923" w:rsidP="006751BD">
      <w:pPr>
        <w:pStyle w:val="ListParagraph"/>
        <w:widowControl w:val="0"/>
        <w:numPr>
          <w:ilvl w:val="0"/>
          <w:numId w:val="39"/>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Tricyclic antidepressants</w:t>
      </w:r>
      <w:r w:rsidRPr="006751BD">
        <w:rPr>
          <w:rFonts w:ascii="Arial" w:eastAsia="SimSun" w:hAnsi="Arial" w:cs="Arial"/>
          <w:noProof/>
          <w:color w:val="000000"/>
          <w:kern w:val="2"/>
          <w:sz w:val="24"/>
          <w:szCs w:val="24"/>
          <w:lang w:val="en-US" w:eastAsia="zh-CN"/>
        </w:rPr>
        <w:t xml:space="preserve"> have similar efficacy to SSRIs but are more likely to be discontinued because of side effects and and are toxic in overdose.  Common side effects of include anxiety, drowsiness, dizziness, agitation, confusion, anticholinergic effects discontinued because of side-effects and are toxic in overdose. Common side effects (dry mouth, constipation, urinary retention and blurred vision); cardiovascular effects (hypotension, tachycardia, arrhythmias and other ECG changes - baseline ECG is advised, where appropriate); hepatic changes and changes in blood sugar, weight gain and sexual dysfunction. </w:t>
      </w:r>
    </w:p>
    <w:p w14:paraId="5400A76A" w14:textId="77777777" w:rsidR="00FA1923" w:rsidRPr="006751BD" w:rsidRDefault="00FA1923" w:rsidP="006751BD">
      <w:pPr>
        <w:pStyle w:val="ListParagraph"/>
        <w:widowControl w:val="0"/>
        <w:numPr>
          <w:ilvl w:val="0"/>
          <w:numId w:val="39"/>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Monoamine Oxidase Inhibitors (MAOIs)</w:t>
      </w:r>
      <w:r w:rsidRPr="006751BD">
        <w:rPr>
          <w:rFonts w:ascii="Arial" w:eastAsia="SimSun" w:hAnsi="Arial" w:cs="Arial"/>
          <w:noProof/>
          <w:color w:val="000000"/>
          <w:kern w:val="2"/>
          <w:sz w:val="24"/>
          <w:szCs w:val="24"/>
          <w:lang w:val="en-US" w:eastAsia="zh-CN"/>
        </w:rPr>
        <w:t> can have dangerous interactions with some food and drugs, and should be reserved for initiation by consultants. Service users prescribed these drugs should be monitored carefully (blood pressure), and given written dietary advice and information of drug interactions, and what to do in the event of a crisis.</w:t>
      </w:r>
    </w:p>
    <w:p w14:paraId="4126B42B" w14:textId="77777777" w:rsidR="00FA1923" w:rsidRPr="006751BD" w:rsidRDefault="00FA1923" w:rsidP="006751BD">
      <w:pPr>
        <w:pStyle w:val="ListParagraph"/>
        <w:widowControl w:val="0"/>
        <w:numPr>
          <w:ilvl w:val="0"/>
          <w:numId w:val="39"/>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Benzodiazepines</w:t>
      </w:r>
      <w:r w:rsidRPr="006751BD">
        <w:rPr>
          <w:rFonts w:ascii="Arial" w:eastAsia="SimSun" w:hAnsi="Arial" w:cs="Arial"/>
          <w:noProof/>
          <w:color w:val="000000"/>
          <w:kern w:val="2"/>
          <w:sz w:val="24"/>
          <w:szCs w:val="24"/>
          <w:lang w:val="en-US" w:eastAsia="zh-CN"/>
        </w:rPr>
        <w:t>,due to risk of dependence, tolerance, withdrawal and rebound symptoms, they should be reserved for short term (2- 4 weeks ideally) at the lowest effective dose,  Benzodiazepines can cause sedation, fatigue, ataxia, slurred speech, and risk of falls and fractures. Long term use can cause memory impairments, dependence, impaired alertness and impaired ability to perform skilled tasks, such as driving.</w:t>
      </w:r>
    </w:p>
    <w:p w14:paraId="5447F683" w14:textId="77777777" w:rsidR="00FA1923" w:rsidRPr="006751BD" w:rsidRDefault="00FA1923" w:rsidP="006751BD">
      <w:pPr>
        <w:pStyle w:val="ListParagraph"/>
        <w:widowControl w:val="0"/>
        <w:numPr>
          <w:ilvl w:val="0"/>
          <w:numId w:val="39"/>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Mirtazapine</w:t>
      </w:r>
      <w:r w:rsidRPr="006751BD">
        <w:rPr>
          <w:rFonts w:ascii="Arial" w:eastAsia="SimSun" w:hAnsi="Arial" w:cs="Arial"/>
          <w:noProof/>
          <w:color w:val="000000"/>
          <w:kern w:val="2"/>
          <w:sz w:val="24"/>
          <w:szCs w:val="24"/>
          <w:lang w:val="en-US" w:eastAsia="zh-CN"/>
        </w:rPr>
        <w:t> has few antimuscarinic effects, but causes sedation during initial treatment and is associated with weight gain and rarely blood dyscrasias.</w:t>
      </w:r>
    </w:p>
    <w:p w14:paraId="21EDA43E" w14:textId="77777777" w:rsidR="00FA1923" w:rsidRPr="006751BD" w:rsidRDefault="00FA1923" w:rsidP="006751BD">
      <w:pPr>
        <w:pStyle w:val="ListParagraph"/>
        <w:widowControl w:val="0"/>
        <w:numPr>
          <w:ilvl w:val="0"/>
          <w:numId w:val="39"/>
        </w:numPr>
        <w:spacing w:before="120" w:after="120" w:line="240" w:lineRule="auto"/>
        <w:ind w:left="723"/>
        <w:contextualSpacing w:val="0"/>
        <w:rPr>
          <w:rFonts w:ascii="Arial" w:eastAsia="SimSun" w:hAnsi="Arial" w:cs="Arial"/>
          <w:noProof/>
          <w:color w:val="000000"/>
          <w:kern w:val="2"/>
          <w:sz w:val="24"/>
          <w:szCs w:val="24"/>
          <w:lang w:val="en-US" w:eastAsia="zh-CN"/>
        </w:rPr>
      </w:pPr>
      <w:r w:rsidRPr="006751BD">
        <w:rPr>
          <w:rFonts w:ascii="Arial" w:eastAsia="SimSun" w:hAnsi="Arial" w:cs="Arial"/>
          <w:b/>
          <w:noProof/>
          <w:color w:val="000000"/>
          <w:kern w:val="2"/>
          <w:sz w:val="24"/>
          <w:szCs w:val="24"/>
          <w:lang w:val="en-US" w:eastAsia="zh-CN"/>
        </w:rPr>
        <w:t>Venlafaxine/Duloxetine</w:t>
      </w:r>
      <w:r w:rsidRPr="006751BD">
        <w:rPr>
          <w:rFonts w:ascii="Arial" w:eastAsia="SimSun" w:hAnsi="Arial" w:cs="Arial"/>
          <w:noProof/>
          <w:color w:val="000000"/>
          <w:kern w:val="2"/>
          <w:sz w:val="24"/>
          <w:szCs w:val="24"/>
          <w:lang w:val="en-US" w:eastAsia="zh-CN"/>
        </w:rPr>
        <w:t xml:space="preserve"> Have similar side effects to SSRI’s, a cardiac history should be taken before prescribing, paying particular attention to hypertension.</w:t>
      </w:r>
    </w:p>
    <w:p w14:paraId="1E9D72DB" w14:textId="6606F34D" w:rsidR="001704FD" w:rsidRPr="006751BD" w:rsidRDefault="00FA1923" w:rsidP="006751BD">
      <w:pPr>
        <w:pStyle w:val="ListParagraph"/>
        <w:widowControl w:val="0"/>
        <w:numPr>
          <w:ilvl w:val="0"/>
          <w:numId w:val="39"/>
        </w:numPr>
        <w:spacing w:before="120" w:after="120" w:line="240" w:lineRule="auto"/>
        <w:ind w:left="723"/>
        <w:contextualSpacing w:val="0"/>
        <w:rPr>
          <w:rFonts w:ascii="Arial" w:hAnsi="Arial" w:cs="Arial"/>
          <w:sz w:val="24"/>
          <w:szCs w:val="24"/>
        </w:rPr>
      </w:pPr>
      <w:r w:rsidRPr="006751BD">
        <w:rPr>
          <w:rFonts w:ascii="Arial" w:eastAsia="SimSun" w:hAnsi="Arial" w:cs="Arial"/>
          <w:b/>
          <w:noProof/>
          <w:color w:val="000000"/>
          <w:kern w:val="2"/>
          <w:sz w:val="24"/>
          <w:szCs w:val="24"/>
          <w:lang w:val="en-US" w:eastAsia="zh-CN"/>
        </w:rPr>
        <w:t>Antipsychotics</w:t>
      </w:r>
      <w:r w:rsidRPr="006751BD">
        <w:rPr>
          <w:rFonts w:ascii="Arial" w:eastAsia="SimSun" w:hAnsi="Arial" w:cs="Arial"/>
          <w:noProof/>
          <w:color w:val="000000"/>
          <w:kern w:val="2"/>
          <w:sz w:val="24"/>
          <w:szCs w:val="24"/>
          <w:lang w:val="en-US" w:eastAsia="zh-CN"/>
        </w:rPr>
        <w:t> may be used with caution in anxiety with agitation or psychotic symptoms, when other agents are either ineffective or contraindicated</w:t>
      </w:r>
      <w:r w:rsidR="00FC7D50" w:rsidRPr="006751BD">
        <w:rPr>
          <w:rFonts w:ascii="Arial" w:hAnsi="Arial" w:cs="Arial"/>
          <w:color w:val="0070C0"/>
          <w:sz w:val="24"/>
          <w:szCs w:val="24"/>
        </w:rPr>
        <w:t xml:space="preserve"> </w:t>
      </w:r>
    </w:p>
    <w:p w14:paraId="194C085D" w14:textId="77777777" w:rsidR="008C2314" w:rsidRPr="006751BD" w:rsidRDefault="008C2314">
      <w:pPr>
        <w:pStyle w:val="ListParagraph"/>
        <w:numPr>
          <w:ilvl w:val="0"/>
          <w:numId w:val="1"/>
        </w:numPr>
        <w:spacing w:before="120" w:after="120" w:line="240" w:lineRule="auto"/>
        <w:contextualSpacing w:val="0"/>
        <w:rPr>
          <w:rFonts w:ascii="Arial" w:hAnsi="Arial" w:cs="Arial"/>
          <w:b/>
          <w:color w:val="0070C0"/>
          <w:sz w:val="24"/>
          <w:szCs w:val="24"/>
        </w:rPr>
      </w:pPr>
      <w:r w:rsidRPr="006751BD">
        <w:rPr>
          <w:rFonts w:ascii="Arial" w:hAnsi="Arial" w:cs="Arial"/>
          <w:b/>
          <w:color w:val="0070C0"/>
          <w:sz w:val="24"/>
          <w:szCs w:val="24"/>
        </w:rPr>
        <w:t>Warnings</w:t>
      </w:r>
    </w:p>
    <w:p w14:paraId="14E9923B" w14:textId="77777777" w:rsidR="00FA1923" w:rsidRPr="006751BD" w:rsidRDefault="00FC7D50">
      <w:pPr>
        <w:spacing w:before="120" w:after="120" w:line="240" w:lineRule="auto"/>
        <w:ind w:left="360"/>
        <w:rPr>
          <w:rFonts w:ascii="Arial" w:hAnsi="Arial" w:cs="Arial"/>
          <w:sz w:val="24"/>
          <w:szCs w:val="24"/>
        </w:rPr>
      </w:pPr>
      <w:r w:rsidRPr="006751BD">
        <w:rPr>
          <w:rFonts w:ascii="Arial" w:hAnsi="Arial" w:cs="Arial"/>
          <w:sz w:val="24"/>
          <w:szCs w:val="24"/>
        </w:rPr>
        <w:t>(see D</w:t>
      </w:r>
      <w:r w:rsidR="00FA1923" w:rsidRPr="006751BD">
        <w:rPr>
          <w:rFonts w:ascii="Arial" w:hAnsi="Arial" w:cs="Arial"/>
          <w:sz w:val="24"/>
          <w:szCs w:val="24"/>
        </w:rPr>
        <w:t xml:space="preserve">epression </w:t>
      </w:r>
      <w:r w:rsidRPr="006751BD">
        <w:rPr>
          <w:rFonts w:ascii="Arial" w:hAnsi="Arial" w:cs="Arial"/>
          <w:sz w:val="24"/>
          <w:szCs w:val="24"/>
        </w:rPr>
        <w:t xml:space="preserve">Formulary Guidance </w:t>
      </w:r>
      <w:r w:rsidR="00FA1923" w:rsidRPr="006751BD">
        <w:rPr>
          <w:rFonts w:ascii="Arial" w:hAnsi="Arial" w:cs="Arial"/>
          <w:sz w:val="24"/>
          <w:szCs w:val="24"/>
        </w:rPr>
        <w:t>for more detail)</w:t>
      </w:r>
    </w:p>
    <w:p w14:paraId="5F9BAEFC" w14:textId="04741F34"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Antidepressants are associated with an initial worsening of anxiety/agitation and an increased risk of suicidal behaviour and thinking.  Monitor closely particularly at the start of treatment, and dosage changes.</w:t>
      </w:r>
    </w:p>
    <w:p w14:paraId="7294D34F" w14:textId="1A5D1C4E"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Discontinue antidepressants gradually. Abrupt discontinuation (sometimes reduced or missed doses) of antidepressants can lead to withdrawal symptoms (see depression guidelines)</w:t>
      </w:r>
    </w:p>
    <w:p w14:paraId="527B6EC4" w14:textId="77777777"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Use antidepressants with care in glaucoma, bipolar disorders, prostate hypertrophy, bleeding disorders and seizures.</w:t>
      </w:r>
    </w:p>
    <w:p w14:paraId="645532C9" w14:textId="39A19C0F"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 xml:space="preserve">Hyponatraemia has been associated with all </w:t>
      </w:r>
      <w:r w:rsidR="008C1458" w:rsidRPr="008C1458">
        <w:rPr>
          <w:rFonts w:ascii="Arial" w:hAnsi="Arial" w:cs="Arial"/>
          <w:sz w:val="24"/>
          <w:szCs w:val="24"/>
        </w:rPr>
        <w:t>antidepressants;</w:t>
      </w:r>
      <w:r w:rsidRPr="006751BD">
        <w:rPr>
          <w:rFonts w:ascii="Arial" w:hAnsi="Arial" w:cs="Arial"/>
          <w:sz w:val="24"/>
          <w:szCs w:val="24"/>
        </w:rPr>
        <w:t xml:space="preserve"> Mirtazapine may be a suitable choice if this </w:t>
      </w:r>
      <w:r w:rsidR="006751BD" w:rsidRPr="006751BD">
        <w:rPr>
          <w:rFonts w:ascii="Arial" w:hAnsi="Arial" w:cs="Arial"/>
          <w:sz w:val="24"/>
          <w:szCs w:val="24"/>
        </w:rPr>
        <w:t>occurs.</w:t>
      </w:r>
    </w:p>
    <w:p w14:paraId="338A4434" w14:textId="77777777"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SSRIs can increase risk of bleeding. Caution is required in older adults and when used in combination with NSAID’s, aspirin or anticoagulants</w:t>
      </w:r>
    </w:p>
    <w:p w14:paraId="5A674A0B" w14:textId="77777777" w:rsidR="00FA1923" w:rsidRPr="006751B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SSRIs can increase risk of falls and osteoporotic fractures in people over 50 years.</w:t>
      </w:r>
    </w:p>
    <w:p w14:paraId="3737A783" w14:textId="576CB28D" w:rsidR="001704FD" w:rsidRDefault="00FA1923" w:rsidP="006751BD">
      <w:pPr>
        <w:pStyle w:val="ListParagraph"/>
        <w:numPr>
          <w:ilvl w:val="0"/>
          <w:numId w:val="41"/>
        </w:numPr>
        <w:spacing w:before="120" w:after="120" w:line="240" w:lineRule="auto"/>
        <w:ind w:left="723"/>
        <w:contextualSpacing w:val="0"/>
        <w:rPr>
          <w:rFonts w:ascii="Arial" w:hAnsi="Arial" w:cs="Arial"/>
          <w:sz w:val="24"/>
          <w:szCs w:val="24"/>
        </w:rPr>
      </w:pPr>
      <w:r w:rsidRPr="006751BD">
        <w:rPr>
          <w:rFonts w:ascii="Arial" w:hAnsi="Arial" w:cs="Arial"/>
          <w:sz w:val="24"/>
          <w:szCs w:val="24"/>
        </w:rPr>
        <w:t>Serotonin syndrome can occur with serotonergic drugs and requires emergency management.</w:t>
      </w:r>
    </w:p>
    <w:p w14:paraId="000ABBC5" w14:textId="77777777" w:rsidR="006751BD" w:rsidRPr="006751BD" w:rsidRDefault="006751BD" w:rsidP="006751BD">
      <w:pPr>
        <w:pStyle w:val="ListParagraph"/>
        <w:spacing w:before="120" w:after="120" w:line="240" w:lineRule="auto"/>
        <w:ind w:left="723"/>
        <w:contextualSpacing w:val="0"/>
        <w:rPr>
          <w:rFonts w:ascii="Arial" w:hAnsi="Arial" w:cs="Arial"/>
          <w:sz w:val="24"/>
          <w:szCs w:val="24"/>
        </w:rPr>
      </w:pPr>
    </w:p>
    <w:p w14:paraId="6D22180A" w14:textId="77777777" w:rsidR="008B7E37" w:rsidRPr="006751BD" w:rsidRDefault="008B7E37">
      <w:pPr>
        <w:pStyle w:val="ListParagraph"/>
        <w:numPr>
          <w:ilvl w:val="0"/>
          <w:numId w:val="1"/>
        </w:numPr>
        <w:spacing w:before="120" w:after="120" w:line="240" w:lineRule="auto"/>
        <w:contextualSpacing w:val="0"/>
        <w:rPr>
          <w:rFonts w:ascii="Arial" w:hAnsi="Arial" w:cs="Arial"/>
          <w:b/>
          <w:color w:val="0070C0"/>
          <w:sz w:val="24"/>
          <w:szCs w:val="24"/>
        </w:rPr>
      </w:pPr>
      <w:r w:rsidRPr="006751BD">
        <w:rPr>
          <w:rFonts w:ascii="Arial" w:hAnsi="Arial" w:cs="Arial"/>
          <w:b/>
          <w:color w:val="0070C0"/>
          <w:sz w:val="24"/>
          <w:szCs w:val="24"/>
        </w:rPr>
        <w:lastRenderedPageBreak/>
        <w:t xml:space="preserve">Further information </w:t>
      </w:r>
    </w:p>
    <w:p w14:paraId="50013476" w14:textId="1CBBF806" w:rsidR="008B7E37" w:rsidRPr="006751BD" w:rsidRDefault="008B7E37"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NICE Generalised anxiety disorder and panic disorder (with or without agoraphobia) in adults. NICE clinical guideline 113 (</w:t>
      </w:r>
      <w:r w:rsidR="00295131">
        <w:rPr>
          <w:rFonts w:ascii="Arial" w:hAnsi="Arial" w:cs="Arial"/>
          <w:color w:val="000000" w:themeColor="text1"/>
          <w:sz w:val="24"/>
          <w:szCs w:val="24"/>
        </w:rPr>
        <w:t>updated 2020</w:t>
      </w:r>
      <w:r w:rsidRPr="006751BD">
        <w:rPr>
          <w:rFonts w:ascii="Arial" w:hAnsi="Arial" w:cs="Arial"/>
          <w:color w:val="000000" w:themeColor="text1"/>
          <w:sz w:val="24"/>
          <w:szCs w:val="24"/>
        </w:rPr>
        <w:t xml:space="preserve">).  </w:t>
      </w:r>
      <w:hyperlink r:id="rId10" w:history="1">
        <w:r w:rsidR="00251216" w:rsidRPr="006751BD">
          <w:rPr>
            <w:rStyle w:val="Hyperlink"/>
            <w:rFonts w:ascii="Arial" w:hAnsi="Arial" w:cs="Arial"/>
            <w:sz w:val="24"/>
            <w:szCs w:val="24"/>
          </w:rPr>
          <w:t>www.nice.org.uk/guidance/CG113</w:t>
        </w:r>
      </w:hyperlink>
    </w:p>
    <w:p w14:paraId="59468462" w14:textId="1CBCA4D5" w:rsidR="008B7E37" w:rsidRDefault="008B7E37">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 xml:space="preserve">NICE Obsessive – Compulsive Disorder - NICE: clinical Guideline 31 </w:t>
      </w:r>
      <w:hyperlink r:id="rId11" w:history="1">
        <w:r w:rsidR="00251216" w:rsidRPr="006751BD">
          <w:rPr>
            <w:rStyle w:val="Hyperlink"/>
            <w:rFonts w:ascii="Arial" w:hAnsi="Arial" w:cs="Arial"/>
            <w:sz w:val="24"/>
            <w:szCs w:val="24"/>
          </w:rPr>
          <w:t>www.nice.org.uk/CG31</w:t>
        </w:r>
      </w:hyperlink>
      <w:r w:rsidRPr="006751BD">
        <w:rPr>
          <w:rFonts w:ascii="Arial" w:hAnsi="Arial" w:cs="Arial"/>
          <w:color w:val="000000" w:themeColor="text1"/>
          <w:sz w:val="24"/>
          <w:szCs w:val="24"/>
        </w:rPr>
        <w:t xml:space="preserve"> </w:t>
      </w:r>
    </w:p>
    <w:p w14:paraId="1237EE28" w14:textId="527D0D77" w:rsidR="001E331B" w:rsidRPr="006751BD" w:rsidRDefault="00F7636A"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NICE Social anxiety disorder: recognition, assessment and treatment</w:t>
      </w:r>
      <w:r w:rsidR="006751BD" w:rsidRPr="006751BD">
        <w:rPr>
          <w:rFonts w:ascii="Arial" w:hAnsi="Arial" w:cs="Arial"/>
          <w:color w:val="000000" w:themeColor="text1"/>
          <w:sz w:val="24"/>
          <w:szCs w:val="24"/>
        </w:rPr>
        <w:t xml:space="preserve"> </w:t>
      </w:r>
      <w:hyperlink r:id="rId12" w:history="1">
        <w:r w:rsidR="001E331B" w:rsidRPr="006751BD">
          <w:rPr>
            <w:rStyle w:val="Hyperlink"/>
            <w:rFonts w:ascii="Arial" w:hAnsi="Arial" w:cs="Arial"/>
            <w:sz w:val="24"/>
            <w:szCs w:val="24"/>
          </w:rPr>
          <w:t>NICE Guidance CG159</w:t>
        </w:r>
      </w:hyperlink>
    </w:p>
    <w:p w14:paraId="01518490" w14:textId="548548A8" w:rsidR="00251216" w:rsidRPr="006751BD" w:rsidRDefault="008B7E37"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 xml:space="preserve">NICE. </w:t>
      </w:r>
      <w:r w:rsidR="008C1458" w:rsidRPr="008C1458">
        <w:rPr>
          <w:rFonts w:ascii="Arial" w:hAnsi="Arial" w:cs="Arial"/>
          <w:color w:val="000000" w:themeColor="text1"/>
          <w:sz w:val="24"/>
          <w:szCs w:val="24"/>
        </w:rPr>
        <w:t>Post-Traumatic</w:t>
      </w:r>
      <w:r w:rsidRPr="006751BD">
        <w:rPr>
          <w:rFonts w:ascii="Arial" w:hAnsi="Arial" w:cs="Arial"/>
          <w:color w:val="000000" w:themeColor="text1"/>
          <w:sz w:val="24"/>
          <w:szCs w:val="24"/>
        </w:rPr>
        <w:t xml:space="preserve"> Stress disorder </w:t>
      </w:r>
      <w:hyperlink r:id="rId13" w:history="1">
        <w:r w:rsidR="008C1458">
          <w:rPr>
            <w:rStyle w:val="Hyperlink"/>
            <w:rFonts w:ascii="Arial" w:hAnsi="Arial" w:cs="Arial"/>
            <w:sz w:val="24"/>
            <w:szCs w:val="24"/>
          </w:rPr>
          <w:t>www</w:t>
        </w:r>
        <w:r w:rsidR="008C1458" w:rsidRPr="006751BD">
          <w:rPr>
            <w:rStyle w:val="Hyperlink"/>
            <w:rFonts w:ascii="Arial" w:hAnsi="Arial" w:cs="Arial"/>
            <w:sz w:val="24"/>
            <w:szCs w:val="24"/>
          </w:rPr>
          <w:t>.nice.org.uk/CG26</w:t>
        </w:r>
      </w:hyperlink>
    </w:p>
    <w:p w14:paraId="2F573D70" w14:textId="77777777" w:rsidR="00251216" w:rsidRPr="006751BD" w:rsidRDefault="008B7E37"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Evidence- based Guidelines for the pharmacological treatment of anxiety disorders BAP</w:t>
      </w:r>
      <w:r w:rsidR="00251216" w:rsidRPr="006751BD">
        <w:rPr>
          <w:rFonts w:ascii="Arial" w:hAnsi="Arial" w:cs="Arial"/>
          <w:color w:val="000000" w:themeColor="text1"/>
          <w:sz w:val="24"/>
          <w:szCs w:val="24"/>
        </w:rPr>
        <w:t xml:space="preserve">: </w:t>
      </w:r>
      <w:hyperlink r:id="rId14" w:history="1">
        <w:r w:rsidR="00251216" w:rsidRPr="006751BD">
          <w:rPr>
            <w:rStyle w:val="Hyperlink"/>
            <w:rFonts w:ascii="Arial" w:hAnsi="Arial" w:cs="Arial"/>
            <w:sz w:val="24"/>
            <w:szCs w:val="24"/>
          </w:rPr>
          <w:t>http://www.bap.org.uk/pdfs/Anxiety_Disorder_Guidelines.pdf</w:t>
        </w:r>
      </w:hyperlink>
    </w:p>
    <w:p w14:paraId="40DCC336" w14:textId="6AC586E5" w:rsidR="008B7E37" w:rsidRPr="006751BD" w:rsidRDefault="008B7E37"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BNF</w:t>
      </w:r>
      <w:r w:rsidR="002715AD" w:rsidRPr="006751BD">
        <w:rPr>
          <w:rFonts w:ascii="Arial" w:hAnsi="Arial" w:cs="Arial"/>
          <w:color w:val="000000" w:themeColor="text1"/>
          <w:sz w:val="24"/>
          <w:szCs w:val="24"/>
        </w:rPr>
        <w:t xml:space="preserve"> </w:t>
      </w:r>
      <w:r w:rsidRPr="006751BD">
        <w:rPr>
          <w:rFonts w:ascii="Arial" w:hAnsi="Arial" w:cs="Arial"/>
          <w:color w:val="000000" w:themeColor="text1"/>
          <w:sz w:val="24"/>
          <w:szCs w:val="24"/>
        </w:rPr>
        <w:t xml:space="preserve">online   </w:t>
      </w:r>
      <w:hyperlink r:id="rId15" w:history="1">
        <w:r w:rsidR="00251216" w:rsidRPr="006751BD">
          <w:rPr>
            <w:rStyle w:val="Hyperlink"/>
            <w:rFonts w:ascii="Arial" w:hAnsi="Arial" w:cs="Arial"/>
            <w:sz w:val="24"/>
            <w:szCs w:val="24"/>
          </w:rPr>
          <w:t>www.bnf.org</w:t>
        </w:r>
      </w:hyperlink>
    </w:p>
    <w:p w14:paraId="7039C592" w14:textId="77777777" w:rsidR="00251216" w:rsidRPr="006751BD" w:rsidRDefault="008B7E37"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SPC for all</w:t>
      </w:r>
      <w:r w:rsidR="00251216" w:rsidRPr="006751BD">
        <w:rPr>
          <w:rFonts w:ascii="Arial" w:hAnsi="Arial" w:cs="Arial"/>
          <w:color w:val="000000" w:themeColor="text1"/>
          <w:sz w:val="24"/>
          <w:szCs w:val="24"/>
        </w:rPr>
        <w:t xml:space="preserve"> the drugs </w:t>
      </w:r>
      <w:hyperlink r:id="rId16" w:history="1">
        <w:r w:rsidR="00251216" w:rsidRPr="006751BD">
          <w:rPr>
            <w:rStyle w:val="Hyperlink"/>
            <w:rFonts w:ascii="Arial" w:hAnsi="Arial" w:cs="Arial"/>
            <w:sz w:val="24"/>
            <w:szCs w:val="24"/>
          </w:rPr>
          <w:t>www.medicines.org.uk</w:t>
        </w:r>
      </w:hyperlink>
    </w:p>
    <w:p w14:paraId="72E3FC91" w14:textId="77777777" w:rsidR="009946D3" w:rsidRDefault="008B7E37" w:rsidP="009946D3">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r w:rsidRPr="006751BD">
        <w:rPr>
          <w:rFonts w:ascii="Arial" w:hAnsi="Arial" w:cs="Arial"/>
          <w:color w:val="000000" w:themeColor="text1"/>
          <w:sz w:val="24"/>
          <w:szCs w:val="24"/>
        </w:rPr>
        <w:t xml:space="preserve">Psychotropic Drug Directory </w:t>
      </w:r>
      <w:proofErr w:type="spellStart"/>
      <w:r w:rsidRPr="006751BD">
        <w:rPr>
          <w:rFonts w:ascii="Arial" w:hAnsi="Arial" w:cs="Arial"/>
          <w:color w:val="000000" w:themeColor="text1"/>
          <w:sz w:val="24"/>
          <w:szCs w:val="24"/>
        </w:rPr>
        <w:t>Bazire</w:t>
      </w:r>
      <w:proofErr w:type="spellEnd"/>
      <w:r w:rsidRPr="006751BD">
        <w:rPr>
          <w:rFonts w:ascii="Arial" w:hAnsi="Arial" w:cs="Arial"/>
          <w:color w:val="000000" w:themeColor="text1"/>
          <w:sz w:val="24"/>
          <w:szCs w:val="24"/>
        </w:rPr>
        <w:t xml:space="preserve"> 2010</w:t>
      </w:r>
    </w:p>
    <w:p w14:paraId="0271D824" w14:textId="171112BB" w:rsidR="00295131" w:rsidRPr="006751BD" w:rsidRDefault="009946D3" w:rsidP="006751BD">
      <w:pPr>
        <w:pStyle w:val="ListParagraph"/>
        <w:numPr>
          <w:ilvl w:val="0"/>
          <w:numId w:val="47"/>
        </w:numPr>
        <w:spacing w:before="120" w:after="120" w:line="240" w:lineRule="auto"/>
        <w:ind w:left="723"/>
        <w:contextualSpacing w:val="0"/>
        <w:rPr>
          <w:rFonts w:ascii="Arial" w:hAnsi="Arial" w:cs="Arial"/>
          <w:color w:val="000000" w:themeColor="text1"/>
          <w:sz w:val="24"/>
          <w:szCs w:val="24"/>
        </w:rPr>
      </w:pPr>
      <w:hyperlink r:id="rId17" w:history="1">
        <w:r w:rsidR="00295131" w:rsidRPr="009946D3">
          <w:rPr>
            <w:rStyle w:val="Hyperlink"/>
            <w:rFonts w:ascii="Arial" w:hAnsi="Arial" w:cs="Arial"/>
            <w:sz w:val="24"/>
            <w:szCs w:val="24"/>
          </w:rPr>
          <w:t>Frith</w:t>
        </w:r>
        <w:r w:rsidRPr="009946D3">
          <w:rPr>
            <w:rStyle w:val="Hyperlink"/>
            <w:rFonts w:ascii="Arial" w:hAnsi="Arial" w:cs="Arial"/>
            <w:sz w:val="24"/>
            <w:szCs w:val="24"/>
          </w:rPr>
          <w:t xml:space="preserve"> Prescribing Guidelines for people with intellectual disability 3</w:t>
        </w:r>
        <w:r w:rsidRPr="006751BD">
          <w:rPr>
            <w:rStyle w:val="Hyperlink"/>
            <w:vertAlign w:val="superscript"/>
          </w:rPr>
          <w:t>rd</w:t>
        </w:r>
        <w:r w:rsidRPr="009946D3">
          <w:rPr>
            <w:rStyle w:val="Hyperlink"/>
            <w:rFonts w:ascii="Arial" w:hAnsi="Arial" w:cs="Arial"/>
            <w:sz w:val="24"/>
            <w:szCs w:val="24"/>
          </w:rPr>
          <w:t xml:space="preserve"> Edition</w:t>
        </w:r>
      </w:hyperlink>
    </w:p>
    <w:p w14:paraId="4905D662" w14:textId="77777777" w:rsidR="001E3D9F" w:rsidRDefault="001E3D9F" w:rsidP="001E3D9F">
      <w:pPr>
        <w:spacing w:after="0" w:line="240" w:lineRule="auto"/>
        <w:rPr>
          <w:rFonts w:ascii="Arial" w:hAnsi="Arial" w:cs="Arial"/>
          <w:color w:val="0070C0"/>
        </w:rPr>
      </w:pPr>
    </w:p>
    <w:p w14:paraId="5EE6D508" w14:textId="6962FD00" w:rsidR="00295131" w:rsidRPr="001E3D9F" w:rsidRDefault="00295131" w:rsidP="001E3D9F">
      <w:pPr>
        <w:spacing w:after="0" w:line="240" w:lineRule="auto"/>
        <w:rPr>
          <w:rFonts w:ascii="Arial" w:hAnsi="Arial" w:cs="Arial"/>
          <w:color w:val="0070C0"/>
        </w:rPr>
        <w:sectPr w:rsidR="00295131" w:rsidRPr="001E3D9F" w:rsidSect="00FC7D50">
          <w:footerReference w:type="default" r:id="rId18"/>
          <w:pgSz w:w="11906" w:h="16838"/>
          <w:pgMar w:top="720" w:right="849" w:bottom="720" w:left="993" w:header="567" w:footer="227" w:gutter="0"/>
          <w:cols w:space="708"/>
          <w:docGrid w:linePitch="360"/>
        </w:sectPr>
      </w:pPr>
    </w:p>
    <w:p w14:paraId="588772D7" w14:textId="77777777" w:rsidR="00E47A0B" w:rsidRDefault="00E47A0B" w:rsidP="005128CC">
      <w:pPr>
        <w:pStyle w:val="ListParagraph"/>
        <w:spacing w:before="120" w:after="120" w:line="240" w:lineRule="auto"/>
        <w:ind w:left="0"/>
        <w:contextualSpacing w:val="0"/>
        <w:rPr>
          <w:rFonts w:ascii="Arial" w:hAnsi="Arial" w:cs="Arial"/>
          <w:b/>
          <w:color w:val="0070C0"/>
        </w:rPr>
      </w:pPr>
      <w:r w:rsidRPr="001E3D9F">
        <w:rPr>
          <w:rFonts w:ascii="Arial" w:hAnsi="Arial" w:cs="Arial"/>
          <w:b/>
          <w:color w:val="0070C0"/>
        </w:rPr>
        <w:lastRenderedPageBreak/>
        <w:t xml:space="preserve">Table 1: </w:t>
      </w:r>
      <w:r w:rsidR="00F02AF3">
        <w:rPr>
          <w:rFonts w:ascii="Arial" w:hAnsi="Arial" w:cs="Arial"/>
          <w:b/>
          <w:color w:val="0070C0"/>
        </w:rPr>
        <w:t>GENERALISED ANXIETY DISORDER</w:t>
      </w:r>
    </w:p>
    <w:p w14:paraId="5F4D8143" w14:textId="77777777" w:rsidR="00ED3097" w:rsidRDefault="00ED3097" w:rsidP="005128CC">
      <w:pPr>
        <w:pStyle w:val="ListParagraph"/>
        <w:spacing w:before="120" w:after="120" w:line="240" w:lineRule="auto"/>
        <w:ind w:left="0"/>
        <w:contextualSpacing w:val="0"/>
        <w:rPr>
          <w:rFonts w:ascii="Arial" w:hAnsi="Arial" w:cs="Arial"/>
          <w:b/>
          <w:color w:val="0070C0"/>
        </w:rPr>
      </w:pPr>
      <w:r>
        <w:rPr>
          <w:rFonts w:ascii="Arial" w:hAnsi="Arial" w:cs="Arial"/>
          <w:b/>
          <w:color w:val="0070C0"/>
        </w:rPr>
        <w:t xml:space="preserve">1a: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95"/>
        <w:gridCol w:w="10631"/>
      </w:tblGrid>
      <w:tr w:rsidR="00594939" w:rsidRPr="005128CC" w14:paraId="43F5FA67" w14:textId="77777777" w:rsidTr="006751BD">
        <w:tc>
          <w:tcPr>
            <w:tcW w:w="2835" w:type="dxa"/>
            <w:shd w:val="clear" w:color="auto" w:fill="7F7F7F" w:themeFill="text1" w:themeFillTint="80"/>
            <w:vAlign w:val="center"/>
          </w:tcPr>
          <w:p w14:paraId="2741E61F" w14:textId="77777777" w:rsidR="00594939"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First Line </w:t>
            </w:r>
            <w:r w:rsidR="00594939" w:rsidRPr="005128CC">
              <w:rPr>
                <w:rFonts w:ascii="Arial" w:hAnsi="Arial" w:cs="Arial"/>
                <w:b/>
                <w:color w:val="FFFFFF" w:themeColor="background1"/>
                <w:sz w:val="20"/>
                <w:szCs w:val="20"/>
              </w:rPr>
              <w:t xml:space="preserve"> </w:t>
            </w:r>
          </w:p>
        </w:tc>
        <w:tc>
          <w:tcPr>
            <w:tcW w:w="1595" w:type="dxa"/>
            <w:shd w:val="clear" w:color="auto" w:fill="7F7F7F" w:themeFill="text1" w:themeFillTint="80"/>
          </w:tcPr>
          <w:p w14:paraId="2625F5BA" w14:textId="77777777" w:rsidR="00594939" w:rsidRPr="005128CC" w:rsidRDefault="00594939"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costs </w:t>
            </w:r>
          </w:p>
        </w:tc>
        <w:tc>
          <w:tcPr>
            <w:tcW w:w="10631" w:type="dxa"/>
            <w:shd w:val="clear" w:color="auto" w:fill="7F7F7F" w:themeFill="text1" w:themeFillTint="80"/>
            <w:vAlign w:val="center"/>
          </w:tcPr>
          <w:p w14:paraId="19509878" w14:textId="77777777" w:rsidR="00594939" w:rsidRPr="005128CC" w:rsidRDefault="00594939"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Notes</w:t>
            </w:r>
          </w:p>
        </w:tc>
      </w:tr>
      <w:tr w:rsidR="00F02AF3" w:rsidRPr="005128CC" w14:paraId="09D8E0DB" w14:textId="77777777" w:rsidTr="006751BD">
        <w:tc>
          <w:tcPr>
            <w:tcW w:w="2835" w:type="dxa"/>
            <w:tcBorders>
              <w:bottom w:val="single" w:sz="4" w:space="0" w:color="FFFFFF" w:themeColor="background1"/>
            </w:tcBorders>
            <w:shd w:val="clear" w:color="auto" w:fill="D9D9D9" w:themeFill="background1" w:themeFillShade="D9"/>
          </w:tcPr>
          <w:p w14:paraId="4E940DD8"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Sertraline</w:t>
            </w:r>
          </w:p>
        </w:tc>
        <w:tc>
          <w:tcPr>
            <w:tcW w:w="1595" w:type="dxa"/>
            <w:tcBorders>
              <w:bottom w:val="single" w:sz="4" w:space="0" w:color="FFFFFF" w:themeColor="background1"/>
            </w:tcBorders>
            <w:shd w:val="clear" w:color="auto" w:fill="D9D9D9" w:themeFill="background1" w:themeFillShade="D9"/>
          </w:tcPr>
          <w:p w14:paraId="20E3FBCD" w14:textId="77777777"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653FA343"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Not currently licensed for the treatment of GAD; Recommended first-line by NICE</w:t>
            </w:r>
          </w:p>
          <w:p w14:paraId="55673F98"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If successfully treated previously with another antidepressants, re-initiate prior therapy</w:t>
            </w:r>
          </w:p>
          <w:p w14:paraId="74FF8687"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Offer high-intensity psychological intervention and anxiety management techniques</w:t>
            </w:r>
          </w:p>
        </w:tc>
      </w:tr>
      <w:tr w:rsidR="00F02AF3" w:rsidRPr="005128CC" w14:paraId="3C912B02" w14:textId="77777777" w:rsidTr="006751BD">
        <w:tc>
          <w:tcPr>
            <w:tcW w:w="2835" w:type="dxa"/>
            <w:shd w:val="clear" w:color="auto" w:fill="7F7F7F" w:themeFill="text1" w:themeFillTint="80"/>
          </w:tcPr>
          <w:p w14:paraId="6036F61E"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Second Line  </w:t>
            </w:r>
          </w:p>
        </w:tc>
        <w:tc>
          <w:tcPr>
            <w:tcW w:w="1595" w:type="dxa"/>
            <w:shd w:val="clear" w:color="auto" w:fill="7F7F7F" w:themeFill="text1" w:themeFillTint="80"/>
          </w:tcPr>
          <w:p w14:paraId="378CBE75"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costs </w:t>
            </w:r>
          </w:p>
        </w:tc>
        <w:tc>
          <w:tcPr>
            <w:tcW w:w="10631" w:type="dxa"/>
            <w:shd w:val="clear" w:color="auto" w:fill="7F7F7F" w:themeFill="text1" w:themeFillTint="80"/>
            <w:vAlign w:val="center"/>
          </w:tcPr>
          <w:p w14:paraId="2D735503"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Notes</w:t>
            </w:r>
          </w:p>
        </w:tc>
      </w:tr>
      <w:tr w:rsidR="00F02AF3" w:rsidRPr="005128CC" w14:paraId="4FCE9E8A" w14:textId="77777777" w:rsidTr="006751BD">
        <w:tc>
          <w:tcPr>
            <w:tcW w:w="2835" w:type="dxa"/>
            <w:shd w:val="clear" w:color="auto" w:fill="D9D9D9" w:themeFill="background1" w:themeFillShade="D9"/>
          </w:tcPr>
          <w:p w14:paraId="282BBA2E"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Alternative SSRI</w:t>
            </w:r>
          </w:p>
        </w:tc>
        <w:tc>
          <w:tcPr>
            <w:tcW w:w="1595" w:type="dxa"/>
            <w:shd w:val="clear" w:color="auto" w:fill="D9D9D9" w:themeFill="background1" w:themeFillShade="D9"/>
          </w:tcPr>
          <w:p w14:paraId="30923102" w14:textId="77777777" w:rsidR="00F02AF3" w:rsidRPr="005128CC" w:rsidRDefault="00F02AF3" w:rsidP="00AD3E1D">
            <w:pPr>
              <w:spacing w:before="40" w:after="40"/>
              <w:rPr>
                <w:rFonts w:ascii="Arial" w:hAnsi="Arial" w:cs="Arial"/>
                <w:sz w:val="20"/>
                <w:szCs w:val="20"/>
              </w:rPr>
            </w:pPr>
          </w:p>
        </w:tc>
        <w:tc>
          <w:tcPr>
            <w:tcW w:w="10631" w:type="dxa"/>
            <w:shd w:val="clear" w:color="auto" w:fill="D9D9D9" w:themeFill="background1" w:themeFillShade="D9"/>
          </w:tcPr>
          <w:p w14:paraId="736ED956"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Offer another SSRI not tried first-line</w:t>
            </w:r>
          </w:p>
          <w:p w14:paraId="7E94C09C"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Switch if unable to tolerate treatment or no response after 12 weeks at effective dose - after</w:t>
            </w:r>
          </w:p>
          <w:p w14:paraId="2BAE10FE"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checking adherence and confirming diagnosis; if partial response consider dose increase.</w:t>
            </w:r>
          </w:p>
        </w:tc>
      </w:tr>
      <w:tr w:rsidR="00F02AF3" w:rsidRPr="005128CC" w14:paraId="77E65395" w14:textId="77777777" w:rsidTr="006751BD">
        <w:tc>
          <w:tcPr>
            <w:tcW w:w="2835" w:type="dxa"/>
            <w:shd w:val="clear" w:color="auto" w:fill="D9D9D9" w:themeFill="background1" w:themeFillShade="D9"/>
          </w:tcPr>
          <w:p w14:paraId="44A4EBCD" w14:textId="1EF057BF"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Paroxetine</w:t>
            </w:r>
          </w:p>
        </w:tc>
        <w:tc>
          <w:tcPr>
            <w:tcW w:w="1595" w:type="dxa"/>
            <w:shd w:val="clear" w:color="auto" w:fill="D9D9D9" w:themeFill="background1" w:themeFillShade="D9"/>
          </w:tcPr>
          <w:p w14:paraId="05F6DEE2" w14:textId="0562F163"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6AD13B8C"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Use lower initial doses; high likelihood of discontinuation reactions</w:t>
            </w:r>
          </w:p>
        </w:tc>
      </w:tr>
      <w:tr w:rsidR="00F02AF3" w:rsidRPr="005128CC" w14:paraId="2F33AD28" w14:textId="77777777" w:rsidTr="006751BD">
        <w:tc>
          <w:tcPr>
            <w:tcW w:w="2835" w:type="dxa"/>
            <w:shd w:val="clear" w:color="auto" w:fill="D9D9D9" w:themeFill="background1" w:themeFillShade="D9"/>
          </w:tcPr>
          <w:p w14:paraId="5A21605B" w14:textId="3FD322E1"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Citalopram </w:t>
            </w:r>
          </w:p>
        </w:tc>
        <w:tc>
          <w:tcPr>
            <w:tcW w:w="1595" w:type="dxa"/>
            <w:shd w:val="clear" w:color="auto" w:fill="D9D9D9" w:themeFill="background1" w:themeFillShade="D9"/>
          </w:tcPr>
          <w:p w14:paraId="4D7A6C2F" w14:textId="21EDE942"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 xml:space="preserve">£ </w:t>
            </w:r>
          </w:p>
        </w:tc>
        <w:tc>
          <w:tcPr>
            <w:tcW w:w="10631" w:type="dxa"/>
            <w:shd w:val="clear" w:color="auto" w:fill="D9D9D9" w:themeFill="background1" w:themeFillShade="D9"/>
          </w:tcPr>
          <w:p w14:paraId="6C951AD7"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Off-label use; consider preference, side effects - including QT effects and previous response</w:t>
            </w:r>
          </w:p>
        </w:tc>
      </w:tr>
      <w:tr w:rsidR="00F02AF3" w:rsidRPr="005128CC" w14:paraId="2054E2F4" w14:textId="77777777" w:rsidTr="006751BD">
        <w:tc>
          <w:tcPr>
            <w:tcW w:w="2835" w:type="dxa"/>
            <w:tcBorders>
              <w:bottom w:val="single" w:sz="4" w:space="0" w:color="FFFFFF" w:themeColor="background1"/>
            </w:tcBorders>
            <w:shd w:val="clear" w:color="auto" w:fill="D9D9D9" w:themeFill="background1" w:themeFillShade="D9"/>
          </w:tcPr>
          <w:p w14:paraId="7619A51C"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Venlafaxine (XL)</w:t>
            </w:r>
          </w:p>
        </w:tc>
        <w:tc>
          <w:tcPr>
            <w:tcW w:w="1595" w:type="dxa"/>
            <w:tcBorders>
              <w:bottom w:val="single" w:sz="4" w:space="0" w:color="FFFFFF" w:themeColor="background1"/>
            </w:tcBorders>
            <w:shd w:val="clear" w:color="auto" w:fill="D9D9D9" w:themeFill="background1" w:themeFillShade="D9"/>
          </w:tcPr>
          <w:p w14:paraId="50E024F2" w14:textId="77777777"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 (££)</w:t>
            </w:r>
          </w:p>
        </w:tc>
        <w:tc>
          <w:tcPr>
            <w:tcW w:w="10631" w:type="dxa"/>
            <w:tcBorders>
              <w:bottom w:val="single" w:sz="4" w:space="0" w:color="FFFFFF" w:themeColor="background1"/>
            </w:tcBorders>
            <w:shd w:val="clear" w:color="auto" w:fill="D9D9D9" w:themeFill="background1" w:themeFillShade="D9"/>
          </w:tcPr>
          <w:p w14:paraId="41F648D5"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More toxic in overdose than SSRIs; High risk of discontinuation reactions</w:t>
            </w:r>
          </w:p>
        </w:tc>
      </w:tr>
      <w:tr w:rsidR="00F02AF3" w:rsidRPr="005128CC" w14:paraId="28083FF1" w14:textId="77777777" w:rsidTr="006751BD">
        <w:tc>
          <w:tcPr>
            <w:tcW w:w="2835" w:type="dxa"/>
            <w:shd w:val="clear" w:color="auto" w:fill="7F7F7F" w:themeFill="text1" w:themeFillTint="80"/>
          </w:tcPr>
          <w:p w14:paraId="739380BB"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Third Line  </w:t>
            </w:r>
          </w:p>
        </w:tc>
        <w:tc>
          <w:tcPr>
            <w:tcW w:w="1595" w:type="dxa"/>
            <w:shd w:val="clear" w:color="auto" w:fill="7F7F7F" w:themeFill="text1" w:themeFillTint="80"/>
          </w:tcPr>
          <w:p w14:paraId="7CBE7AD1"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costs </w:t>
            </w:r>
          </w:p>
        </w:tc>
        <w:tc>
          <w:tcPr>
            <w:tcW w:w="10631" w:type="dxa"/>
            <w:shd w:val="clear" w:color="auto" w:fill="7F7F7F" w:themeFill="text1" w:themeFillTint="80"/>
            <w:vAlign w:val="center"/>
          </w:tcPr>
          <w:p w14:paraId="327AB1EB" w14:textId="77777777" w:rsidR="00F02AF3" w:rsidRPr="005128CC" w:rsidRDefault="00F02AF3" w:rsidP="00AD3E1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Notes – SECONDARY CARE INITIATION ONLY </w:t>
            </w:r>
          </w:p>
        </w:tc>
      </w:tr>
      <w:tr w:rsidR="00F02AF3" w:rsidRPr="005128CC" w14:paraId="28FD11B6" w14:textId="77777777" w:rsidTr="006751BD">
        <w:tc>
          <w:tcPr>
            <w:tcW w:w="2835" w:type="dxa"/>
            <w:shd w:val="clear" w:color="auto" w:fill="D9D9D9" w:themeFill="background1" w:themeFillShade="D9"/>
          </w:tcPr>
          <w:p w14:paraId="5F89C389"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Escitalopram</w:t>
            </w:r>
          </w:p>
        </w:tc>
        <w:tc>
          <w:tcPr>
            <w:tcW w:w="1595" w:type="dxa"/>
            <w:shd w:val="clear" w:color="auto" w:fill="D9D9D9" w:themeFill="background1" w:themeFillShade="D9"/>
          </w:tcPr>
          <w:p w14:paraId="431F4772" w14:textId="75DDC928"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2204B0BD"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Branded product and costs are greater than those for generic SSRI</w:t>
            </w:r>
          </w:p>
        </w:tc>
      </w:tr>
      <w:tr w:rsidR="00F02AF3" w:rsidRPr="005128CC" w14:paraId="02F6EE11" w14:textId="77777777" w:rsidTr="006751BD">
        <w:tc>
          <w:tcPr>
            <w:tcW w:w="2835" w:type="dxa"/>
            <w:shd w:val="clear" w:color="auto" w:fill="D9D9D9" w:themeFill="background1" w:themeFillShade="D9"/>
          </w:tcPr>
          <w:p w14:paraId="0F9D3ECC"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Duloxetine</w:t>
            </w:r>
          </w:p>
        </w:tc>
        <w:tc>
          <w:tcPr>
            <w:tcW w:w="1595" w:type="dxa"/>
            <w:shd w:val="clear" w:color="auto" w:fill="D9D9D9" w:themeFill="background1" w:themeFillShade="D9"/>
          </w:tcPr>
          <w:p w14:paraId="1E7EDD1F" w14:textId="587AF75F"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03F5ACE8"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Branded product and costs are greater than those for generic SSRI/SNRI; Monitor blood pressure</w:t>
            </w:r>
          </w:p>
        </w:tc>
      </w:tr>
      <w:tr w:rsidR="00F02AF3" w:rsidRPr="005128CC" w14:paraId="26EF3727" w14:textId="77777777" w:rsidTr="006751BD">
        <w:tc>
          <w:tcPr>
            <w:tcW w:w="2835" w:type="dxa"/>
            <w:shd w:val="clear" w:color="auto" w:fill="D9D9D9" w:themeFill="background1" w:themeFillShade="D9"/>
          </w:tcPr>
          <w:p w14:paraId="5617B4FA" w14:textId="77777777" w:rsidR="00F02AF3" w:rsidRPr="005128CC" w:rsidRDefault="00F02AF3" w:rsidP="00AD3E1D">
            <w:pPr>
              <w:spacing w:before="40" w:after="40"/>
              <w:ind w:left="102" w:right="-239"/>
              <w:rPr>
                <w:rFonts w:ascii="Arial" w:hAnsi="Arial" w:cs="Arial"/>
                <w:sz w:val="20"/>
                <w:szCs w:val="20"/>
              </w:rPr>
            </w:pPr>
            <w:r w:rsidRPr="005128CC">
              <w:rPr>
                <w:rFonts w:ascii="Arial" w:hAnsi="Arial" w:cs="Arial"/>
                <w:noProof/>
                <w:color w:val="000000"/>
                <w:sz w:val="20"/>
                <w:szCs w:val="20"/>
              </w:rPr>
              <w:t>Pregabalin</w:t>
            </w:r>
          </w:p>
        </w:tc>
        <w:tc>
          <w:tcPr>
            <w:tcW w:w="1595" w:type="dxa"/>
            <w:shd w:val="clear" w:color="auto" w:fill="D9D9D9" w:themeFill="background1" w:themeFillShade="D9"/>
          </w:tcPr>
          <w:p w14:paraId="6686BA81" w14:textId="0070CA76" w:rsidR="00F02AF3" w:rsidRPr="005128CC" w:rsidRDefault="00F02AF3" w:rsidP="00AD3E1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59ADD5FB"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Branded product and costs are greater than those for generic SSRI; NICE recommends</w:t>
            </w:r>
          </w:p>
          <w:p w14:paraId="7CF6E655" w14:textId="77777777" w:rsidR="00F02AF3" w:rsidRPr="005128CC" w:rsidRDefault="00F02AF3" w:rsidP="00AD3E1D">
            <w:pPr>
              <w:spacing w:before="40" w:after="40"/>
              <w:ind w:left="101" w:right="-239"/>
              <w:rPr>
                <w:rFonts w:ascii="Arial" w:hAnsi="Arial" w:cs="Arial"/>
                <w:sz w:val="20"/>
                <w:szCs w:val="20"/>
              </w:rPr>
            </w:pPr>
            <w:r w:rsidRPr="005128CC">
              <w:rPr>
                <w:rFonts w:ascii="Arial" w:hAnsi="Arial" w:cs="Arial"/>
                <w:noProof/>
                <w:color w:val="000000"/>
                <w:sz w:val="20"/>
                <w:szCs w:val="20"/>
              </w:rPr>
              <w:t>pregabalin only if SSRIs or SNRIs not tolerated; somnolence and dizziness are common</w:t>
            </w:r>
          </w:p>
        </w:tc>
      </w:tr>
      <w:tr w:rsidR="00B47754" w:rsidRPr="005128CC" w14:paraId="78513BBC" w14:textId="77777777" w:rsidTr="006751BD">
        <w:tc>
          <w:tcPr>
            <w:tcW w:w="2835" w:type="dxa"/>
            <w:shd w:val="clear" w:color="auto" w:fill="7F7F7F" w:themeFill="text1" w:themeFillTint="80"/>
          </w:tcPr>
          <w:p w14:paraId="4DAD35DA" w14:textId="77777777" w:rsidR="00B47754" w:rsidRPr="005128CC" w:rsidRDefault="00B47754" w:rsidP="00B47754">
            <w:pPr>
              <w:spacing w:before="40" w:after="40"/>
              <w:ind w:left="102" w:right="-239"/>
              <w:rPr>
                <w:rFonts w:ascii="Arial" w:hAnsi="Arial" w:cs="Arial"/>
                <w:sz w:val="20"/>
                <w:szCs w:val="20"/>
              </w:rPr>
            </w:pPr>
            <w:r w:rsidRPr="005128CC">
              <w:rPr>
                <w:rFonts w:ascii="Arial" w:hAnsi="Arial" w:cs="Arial"/>
                <w:b/>
                <w:noProof/>
                <w:color w:val="FFFFFF"/>
                <w:sz w:val="20"/>
                <w:szCs w:val="20"/>
              </w:rPr>
              <w:t>Other</w:t>
            </w:r>
            <w:r w:rsidRPr="005128CC">
              <w:rPr>
                <w:rFonts w:ascii="Arial" w:hAnsi="Arial" w:cs="Arial"/>
                <w:b/>
                <w:noProof/>
                <w:color w:val="000000"/>
                <w:sz w:val="20"/>
                <w:szCs w:val="20"/>
              </w:rPr>
              <w:t> </w:t>
            </w:r>
            <w:r w:rsidRPr="005128CC">
              <w:rPr>
                <w:rFonts w:ascii="Arial" w:hAnsi="Arial" w:cs="Arial"/>
                <w:b/>
                <w:noProof/>
                <w:color w:val="FFFFFF"/>
                <w:sz w:val="20"/>
                <w:szCs w:val="20"/>
              </w:rPr>
              <w:t>Agents</w:t>
            </w:r>
          </w:p>
        </w:tc>
        <w:tc>
          <w:tcPr>
            <w:tcW w:w="1595" w:type="dxa"/>
            <w:shd w:val="clear" w:color="auto" w:fill="7F7F7F" w:themeFill="text1" w:themeFillTint="80"/>
          </w:tcPr>
          <w:p w14:paraId="08F7C6DD" w14:textId="0258E8DE" w:rsidR="00B47754" w:rsidRPr="005128CC" w:rsidRDefault="00B47754" w:rsidP="00B47754">
            <w:pPr>
              <w:spacing w:before="40" w:after="40"/>
              <w:rPr>
                <w:rFonts w:ascii="Arial" w:hAnsi="Arial" w:cs="Arial"/>
                <w:sz w:val="20"/>
                <w:szCs w:val="20"/>
              </w:rPr>
            </w:pPr>
            <w:r w:rsidRPr="005128CC">
              <w:rPr>
                <w:rFonts w:ascii="Arial" w:hAnsi="Arial" w:cs="Arial"/>
                <w:b/>
                <w:noProof/>
                <w:color w:val="FFFFFF"/>
                <w:sz w:val="20"/>
                <w:szCs w:val="20"/>
              </w:rPr>
              <w:t>Relative</w:t>
            </w:r>
            <w:r w:rsidRPr="005128CC">
              <w:rPr>
                <w:rFonts w:ascii="Arial" w:hAnsi="Arial" w:cs="Arial"/>
                <w:b/>
                <w:noProof/>
                <w:color w:val="000000"/>
                <w:sz w:val="20"/>
                <w:szCs w:val="20"/>
              </w:rPr>
              <w:t> </w:t>
            </w:r>
            <w:r w:rsidRPr="005128CC">
              <w:rPr>
                <w:rFonts w:ascii="Arial" w:hAnsi="Arial" w:cs="Arial"/>
                <w:b/>
                <w:noProof/>
                <w:color w:val="FFFFFF"/>
                <w:sz w:val="20"/>
                <w:szCs w:val="20"/>
              </w:rPr>
              <w:t>Cost</w:t>
            </w:r>
            <w:r>
              <w:rPr>
                <w:rFonts w:ascii="Arial" w:hAnsi="Arial" w:cs="Arial"/>
                <w:b/>
                <w:noProof/>
                <w:color w:val="FFFFFF"/>
                <w:sz w:val="20"/>
                <w:szCs w:val="20"/>
              </w:rPr>
              <w:t>s</w:t>
            </w:r>
          </w:p>
        </w:tc>
        <w:tc>
          <w:tcPr>
            <w:tcW w:w="10631" w:type="dxa"/>
            <w:shd w:val="clear" w:color="auto" w:fill="7F7F7F" w:themeFill="text1" w:themeFillTint="80"/>
          </w:tcPr>
          <w:p w14:paraId="2494B785"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b/>
                <w:noProof/>
                <w:color w:val="FFFFFF"/>
                <w:sz w:val="20"/>
                <w:szCs w:val="20"/>
              </w:rPr>
              <w:t>Notes</w:t>
            </w:r>
          </w:p>
        </w:tc>
      </w:tr>
      <w:tr w:rsidR="00B47754" w:rsidRPr="005128CC" w14:paraId="43737911" w14:textId="77777777" w:rsidTr="006751BD">
        <w:tc>
          <w:tcPr>
            <w:tcW w:w="2835" w:type="dxa"/>
            <w:shd w:val="clear" w:color="auto" w:fill="D9D9D9" w:themeFill="background1" w:themeFillShade="D9"/>
          </w:tcPr>
          <w:p w14:paraId="5F6D9401" w14:textId="77777777" w:rsidR="00B47754" w:rsidRPr="005128CC" w:rsidRDefault="00B47754" w:rsidP="00B47754">
            <w:pPr>
              <w:spacing w:before="40" w:after="40"/>
              <w:ind w:left="102" w:right="-239"/>
              <w:rPr>
                <w:rFonts w:ascii="Arial" w:hAnsi="Arial" w:cs="Arial"/>
                <w:sz w:val="20"/>
                <w:szCs w:val="20"/>
              </w:rPr>
            </w:pPr>
            <w:r w:rsidRPr="005128CC">
              <w:rPr>
                <w:rFonts w:ascii="Arial" w:hAnsi="Arial" w:cs="Arial"/>
                <w:noProof/>
                <w:color w:val="000000"/>
                <w:sz w:val="20"/>
                <w:szCs w:val="20"/>
              </w:rPr>
              <w:t>Benzodiazepines</w:t>
            </w:r>
          </w:p>
          <w:p w14:paraId="09D3DC2F" w14:textId="77777777" w:rsidR="00B47754" w:rsidRPr="005128CC" w:rsidRDefault="00B47754" w:rsidP="00B47754">
            <w:pPr>
              <w:spacing w:before="40" w:after="40"/>
              <w:ind w:left="102" w:right="-239"/>
              <w:rPr>
                <w:rFonts w:ascii="Arial" w:hAnsi="Arial" w:cs="Arial"/>
                <w:noProof/>
                <w:color w:val="000000"/>
                <w:sz w:val="20"/>
                <w:szCs w:val="20"/>
              </w:rPr>
            </w:pPr>
            <w:r w:rsidRPr="005128CC">
              <w:rPr>
                <w:rFonts w:ascii="Arial" w:hAnsi="Arial" w:cs="Arial"/>
                <w:noProof/>
                <w:color w:val="000000"/>
                <w:sz w:val="20"/>
                <w:szCs w:val="20"/>
              </w:rPr>
              <w:t xml:space="preserve">   Diazepam/Lorazepam </w:t>
            </w:r>
          </w:p>
          <w:p w14:paraId="1FB2A72E" w14:textId="5C601A29" w:rsidR="00B47754" w:rsidRPr="005128CC" w:rsidRDefault="00B47754" w:rsidP="00B47754">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p>
        </w:tc>
        <w:tc>
          <w:tcPr>
            <w:tcW w:w="1595" w:type="dxa"/>
            <w:shd w:val="clear" w:color="auto" w:fill="D9D9D9" w:themeFill="background1" w:themeFillShade="D9"/>
          </w:tcPr>
          <w:p w14:paraId="23C45AB7" w14:textId="77777777" w:rsidR="00B47754" w:rsidRPr="005128CC" w:rsidRDefault="00B47754" w:rsidP="00B47754">
            <w:pPr>
              <w:spacing w:before="40" w:after="40"/>
              <w:ind w:left="104" w:right="-239"/>
              <w:rPr>
                <w:rFonts w:ascii="Arial" w:hAnsi="Arial" w:cs="Arial"/>
                <w:sz w:val="20"/>
                <w:szCs w:val="20"/>
              </w:rPr>
            </w:pPr>
          </w:p>
          <w:p w14:paraId="3ED8F180" w14:textId="77777777" w:rsidR="00B47754" w:rsidRPr="005128CC" w:rsidRDefault="00B47754" w:rsidP="00B47754">
            <w:pPr>
              <w:spacing w:before="40" w:after="40"/>
              <w:ind w:left="104" w:right="-239"/>
              <w:rPr>
                <w:rFonts w:ascii="Arial" w:hAnsi="Arial" w:cs="Arial"/>
                <w:sz w:val="20"/>
                <w:szCs w:val="20"/>
              </w:rPr>
            </w:pPr>
            <w:r w:rsidRPr="005128CC">
              <w:rPr>
                <w:rFonts w:ascii="Arial" w:hAnsi="Arial" w:cs="Arial"/>
                <w:noProof/>
                <w:color w:val="000000"/>
                <w:sz w:val="20"/>
                <w:szCs w:val="20"/>
              </w:rPr>
              <w:t>£</w:t>
            </w:r>
          </w:p>
          <w:p w14:paraId="23B59F3B" w14:textId="6DD882CA" w:rsidR="00B47754" w:rsidRPr="005128CC" w:rsidRDefault="00B47754" w:rsidP="00B47754">
            <w:pPr>
              <w:spacing w:before="40" w:after="40"/>
              <w:ind w:left="104" w:right="-239"/>
              <w:rPr>
                <w:rFonts w:ascii="Arial" w:hAnsi="Arial" w:cs="Arial"/>
                <w:sz w:val="20"/>
                <w:szCs w:val="20"/>
              </w:rPr>
            </w:pPr>
          </w:p>
        </w:tc>
        <w:tc>
          <w:tcPr>
            <w:tcW w:w="10631" w:type="dxa"/>
            <w:shd w:val="clear" w:color="auto" w:fill="D9D9D9" w:themeFill="background1" w:themeFillShade="D9"/>
          </w:tcPr>
          <w:p w14:paraId="09AA6B36" w14:textId="261E6ECE"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Not  recommended except as a short-term measure during crisis because of risk of side</w:t>
            </w:r>
          </w:p>
          <w:p w14:paraId="69DFA2BF" w14:textId="788D8C34"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effects, dependence and misuse. Useful adjuncts in agitated </w:t>
            </w:r>
            <w:r>
              <w:rPr>
                <w:rFonts w:ascii="Arial" w:hAnsi="Arial" w:cs="Arial"/>
                <w:noProof/>
                <w:color w:val="000000"/>
                <w:sz w:val="20"/>
                <w:szCs w:val="20"/>
              </w:rPr>
              <w:t>patients</w:t>
            </w:r>
            <w:r w:rsidRPr="005128CC">
              <w:rPr>
                <w:rFonts w:ascii="Arial" w:hAnsi="Arial" w:cs="Arial"/>
                <w:noProof/>
                <w:color w:val="000000"/>
                <w:sz w:val="20"/>
                <w:szCs w:val="20"/>
              </w:rPr>
              <w:t>.</w:t>
            </w:r>
          </w:p>
        </w:tc>
      </w:tr>
      <w:tr w:rsidR="00B47754" w:rsidRPr="005128CC" w14:paraId="36C656E9" w14:textId="77777777" w:rsidTr="006751BD">
        <w:tc>
          <w:tcPr>
            <w:tcW w:w="2835" w:type="dxa"/>
            <w:shd w:val="clear" w:color="auto" w:fill="D9D9D9" w:themeFill="background1" w:themeFillShade="D9"/>
          </w:tcPr>
          <w:p w14:paraId="3FF8486F" w14:textId="77777777" w:rsidR="00B47754" w:rsidRPr="005128CC" w:rsidRDefault="00B47754" w:rsidP="00B47754">
            <w:pPr>
              <w:spacing w:before="40" w:after="40"/>
              <w:ind w:left="102" w:right="-239"/>
              <w:rPr>
                <w:rFonts w:ascii="Arial" w:hAnsi="Arial" w:cs="Arial"/>
                <w:sz w:val="20"/>
                <w:szCs w:val="20"/>
              </w:rPr>
            </w:pPr>
            <w:r w:rsidRPr="005128CC">
              <w:rPr>
                <w:rFonts w:ascii="Arial" w:hAnsi="Arial" w:cs="Arial"/>
                <w:noProof/>
                <w:color w:val="000000"/>
                <w:sz w:val="20"/>
                <w:szCs w:val="20"/>
              </w:rPr>
              <w:t>Buspirone</w:t>
            </w:r>
          </w:p>
        </w:tc>
        <w:tc>
          <w:tcPr>
            <w:tcW w:w="1595" w:type="dxa"/>
            <w:shd w:val="clear" w:color="auto" w:fill="D9D9D9" w:themeFill="background1" w:themeFillShade="D9"/>
          </w:tcPr>
          <w:p w14:paraId="32FF9A33" w14:textId="77777777" w:rsidR="00B47754" w:rsidRPr="005128CC" w:rsidRDefault="00B47754" w:rsidP="00B47754">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12CB6222"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For short-term use only – delayed onset of action; greater risk of discontinuation due to side</w:t>
            </w:r>
          </w:p>
          <w:p w14:paraId="1F807065"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effects; Efficacy is reduced in previous extensive use of benzodiazepines; may be useful where</w:t>
            </w:r>
          </w:p>
          <w:p w14:paraId="1D649574"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benzodiazepines not used before</w:t>
            </w:r>
          </w:p>
        </w:tc>
      </w:tr>
      <w:tr w:rsidR="00B47754" w:rsidRPr="005128CC" w14:paraId="33AB0FBA" w14:textId="77777777" w:rsidTr="006751BD">
        <w:tc>
          <w:tcPr>
            <w:tcW w:w="2835" w:type="dxa"/>
            <w:shd w:val="clear" w:color="auto" w:fill="D9D9D9" w:themeFill="background1" w:themeFillShade="D9"/>
          </w:tcPr>
          <w:p w14:paraId="72010554" w14:textId="6948B002" w:rsidR="00B47754" w:rsidRPr="005128CC" w:rsidRDefault="00B47754" w:rsidP="00B47754">
            <w:pPr>
              <w:spacing w:before="40" w:after="40"/>
              <w:ind w:left="102" w:right="-239"/>
              <w:rPr>
                <w:rFonts w:ascii="Arial" w:hAnsi="Arial" w:cs="Arial"/>
                <w:sz w:val="20"/>
                <w:szCs w:val="20"/>
              </w:rPr>
            </w:pPr>
            <w:r w:rsidRPr="005128CC">
              <w:rPr>
                <w:rFonts w:ascii="Arial" w:hAnsi="Arial" w:cs="Arial"/>
                <w:noProof/>
                <w:color w:val="000000"/>
                <w:sz w:val="20"/>
                <w:szCs w:val="20"/>
              </w:rPr>
              <w:t xml:space="preserve">Propranolol  </w:t>
            </w:r>
          </w:p>
        </w:tc>
        <w:tc>
          <w:tcPr>
            <w:tcW w:w="1595" w:type="dxa"/>
            <w:shd w:val="clear" w:color="auto" w:fill="D9D9D9" w:themeFill="background1" w:themeFillShade="D9"/>
          </w:tcPr>
          <w:p w14:paraId="2C365BCE" w14:textId="24952627" w:rsidR="00B47754" w:rsidRPr="005128CC" w:rsidRDefault="00B47754" w:rsidP="00B47754">
            <w:pPr>
              <w:spacing w:before="40" w:after="40"/>
              <w:ind w:left="104" w:right="-239"/>
              <w:rPr>
                <w:rFonts w:ascii="Arial" w:hAnsi="Arial" w:cs="Arial"/>
                <w:sz w:val="20"/>
                <w:szCs w:val="20"/>
              </w:rPr>
            </w:pPr>
            <w:r w:rsidRPr="005128CC">
              <w:rPr>
                <w:rFonts w:ascii="Arial" w:hAnsi="Arial" w:cs="Arial"/>
                <w:noProof/>
                <w:color w:val="000000"/>
                <w:sz w:val="20"/>
                <w:szCs w:val="20"/>
              </w:rPr>
              <w:t xml:space="preserve">£ </w:t>
            </w:r>
          </w:p>
        </w:tc>
        <w:tc>
          <w:tcPr>
            <w:tcW w:w="10631" w:type="dxa"/>
            <w:shd w:val="clear" w:color="auto" w:fill="D9D9D9" w:themeFill="background1" w:themeFillShade="D9"/>
          </w:tcPr>
          <w:p w14:paraId="3C6CC414"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May be useful for somatic symptoms particularly tachycardia; check contraindications</w:t>
            </w:r>
          </w:p>
        </w:tc>
      </w:tr>
      <w:tr w:rsidR="00B47754" w:rsidRPr="005128CC" w14:paraId="421D50A8" w14:textId="77777777" w:rsidTr="006751BD">
        <w:tc>
          <w:tcPr>
            <w:tcW w:w="2835" w:type="dxa"/>
            <w:shd w:val="clear" w:color="auto" w:fill="D9D9D9" w:themeFill="background1" w:themeFillShade="D9"/>
          </w:tcPr>
          <w:p w14:paraId="448731F4" w14:textId="77777777" w:rsidR="00B47754" w:rsidRPr="005128CC" w:rsidRDefault="00B47754" w:rsidP="00B47754">
            <w:pPr>
              <w:spacing w:before="40" w:after="40"/>
              <w:ind w:left="102" w:right="-239"/>
              <w:rPr>
                <w:rFonts w:ascii="Arial" w:hAnsi="Arial" w:cs="Arial"/>
                <w:sz w:val="20"/>
                <w:szCs w:val="20"/>
              </w:rPr>
            </w:pPr>
            <w:r w:rsidRPr="005128CC">
              <w:rPr>
                <w:rFonts w:ascii="Arial" w:hAnsi="Arial" w:cs="Arial"/>
                <w:noProof/>
                <w:color w:val="000000"/>
                <w:sz w:val="20"/>
                <w:szCs w:val="20"/>
              </w:rPr>
              <w:t>Hydroxyzine</w:t>
            </w:r>
          </w:p>
        </w:tc>
        <w:tc>
          <w:tcPr>
            <w:tcW w:w="1595" w:type="dxa"/>
            <w:shd w:val="clear" w:color="auto" w:fill="D9D9D9" w:themeFill="background1" w:themeFillShade="D9"/>
          </w:tcPr>
          <w:p w14:paraId="11944040" w14:textId="77777777" w:rsidR="00B47754" w:rsidRPr="005128CC" w:rsidRDefault="00B47754" w:rsidP="00B47754">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7F718C39" w14:textId="77777777" w:rsidR="00B47754" w:rsidRPr="005128CC" w:rsidRDefault="00B47754" w:rsidP="00B47754">
            <w:pPr>
              <w:spacing w:before="40" w:after="40"/>
              <w:ind w:left="101" w:right="-239"/>
              <w:rPr>
                <w:rFonts w:ascii="Arial" w:hAnsi="Arial" w:cs="Arial"/>
                <w:sz w:val="20"/>
                <w:szCs w:val="20"/>
              </w:rPr>
            </w:pPr>
            <w:r w:rsidRPr="005128CC">
              <w:rPr>
                <w:rFonts w:ascii="Arial" w:hAnsi="Arial" w:cs="Arial"/>
                <w:noProof/>
                <w:color w:val="000000"/>
                <w:sz w:val="20"/>
                <w:szCs w:val="20"/>
              </w:rPr>
              <w:t>Limited effectiveness; use for sedative effect inappropriate</w:t>
            </w:r>
          </w:p>
        </w:tc>
      </w:tr>
    </w:tbl>
    <w:p w14:paraId="79AC10DF" w14:textId="77777777" w:rsidR="001E3D9F" w:rsidRDefault="001E3D9F" w:rsidP="00E47A0B">
      <w:pPr>
        <w:pStyle w:val="ListParagraph"/>
        <w:spacing w:after="0" w:line="240" w:lineRule="auto"/>
        <w:ind w:left="0"/>
        <w:rPr>
          <w:rFonts w:ascii="Arial" w:hAnsi="Arial" w:cs="Arial"/>
          <w:color w:val="0070C0"/>
        </w:rPr>
      </w:pPr>
    </w:p>
    <w:p w14:paraId="60350DDC" w14:textId="3DA3F799" w:rsidR="00ED3097" w:rsidRDefault="00594939" w:rsidP="00AD3E1D">
      <w:pPr>
        <w:rPr>
          <w:rFonts w:ascii="Arial" w:hAnsi="Arial" w:cs="Arial"/>
          <w:b/>
          <w:color w:val="0070C0"/>
        </w:rPr>
      </w:pPr>
      <w:r>
        <w:rPr>
          <w:rFonts w:ascii="Arial" w:hAnsi="Arial" w:cs="Arial"/>
          <w:color w:val="0070C0"/>
        </w:rPr>
        <w:br w:type="page"/>
      </w:r>
      <w:r w:rsidR="00BD4196" w:rsidRPr="00BD4196">
        <w:rPr>
          <w:rFonts w:ascii="Arial" w:hAnsi="Arial" w:cs="Arial"/>
          <w:b/>
          <w:color w:val="0070C0"/>
        </w:rPr>
        <w:lastRenderedPageBreak/>
        <w:t xml:space="preserve">1b: </w:t>
      </w:r>
      <w:r w:rsidR="00ED3097">
        <w:rPr>
          <w:rFonts w:ascii="Arial" w:hAnsi="Arial" w:cs="Arial"/>
          <w:b/>
          <w:color w:val="0070C0"/>
        </w:rPr>
        <w:t>TREATMENT REFRACTORY GENARALISED ANXIETY DISORDER</w:t>
      </w:r>
    </w:p>
    <w:p w14:paraId="6E619579" w14:textId="65F89A06" w:rsidR="001E3D9F" w:rsidRPr="00BD4196" w:rsidRDefault="00ED3097" w:rsidP="00AD3E1D">
      <w:pPr>
        <w:pStyle w:val="ListParagraph"/>
        <w:spacing w:before="120" w:after="120" w:line="240" w:lineRule="auto"/>
        <w:ind w:left="397"/>
        <w:contextualSpacing w:val="0"/>
        <w:rPr>
          <w:rFonts w:ascii="Arial" w:hAnsi="Arial" w:cs="Arial"/>
          <w:b/>
          <w:color w:val="0070C0"/>
        </w:rPr>
      </w:pPr>
      <w:r>
        <w:rPr>
          <w:rFonts w:ascii="Arial" w:hAnsi="Arial" w:cs="Arial"/>
          <w:b/>
          <w:color w:val="0070C0"/>
        </w:rPr>
        <w:t>Initiated and stabilised in Secondary Care</w:t>
      </w:r>
      <w:r w:rsidR="00BD4196" w:rsidRPr="00BD4196">
        <w:rPr>
          <w:rFonts w:ascii="Arial" w:hAnsi="Arial" w:cs="Arial"/>
          <w:b/>
          <w:color w:val="0070C0"/>
        </w:rPr>
        <w:t xml:space="preserve">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60"/>
        <w:gridCol w:w="10631"/>
      </w:tblGrid>
      <w:tr w:rsidR="00120C26" w:rsidRPr="005128CC" w14:paraId="77864F5A" w14:textId="77777777" w:rsidTr="005128CC">
        <w:trPr>
          <w:trHeight w:val="375"/>
        </w:trPr>
        <w:tc>
          <w:tcPr>
            <w:tcW w:w="2835" w:type="dxa"/>
            <w:shd w:val="clear" w:color="auto" w:fill="7F7F7F" w:themeFill="text1" w:themeFillTint="80"/>
          </w:tcPr>
          <w:p w14:paraId="73AE9D6B" w14:textId="77777777" w:rsidR="00120C26" w:rsidRPr="005128CC" w:rsidRDefault="00120C26" w:rsidP="006751BD">
            <w:pPr>
              <w:pStyle w:val="ListParagraph"/>
              <w:spacing w:before="40" w:after="40"/>
              <w:ind w:left="0"/>
              <w:contextualSpacing w:val="0"/>
              <w:rPr>
                <w:rFonts w:ascii="Arial" w:hAnsi="Arial" w:cs="Arial"/>
                <w:b/>
                <w:color w:val="FFFFFF" w:themeColor="background1"/>
                <w:sz w:val="20"/>
                <w:szCs w:val="20"/>
              </w:rPr>
            </w:pPr>
          </w:p>
        </w:tc>
        <w:tc>
          <w:tcPr>
            <w:tcW w:w="1560" w:type="dxa"/>
            <w:shd w:val="clear" w:color="auto" w:fill="7F7F7F" w:themeFill="text1" w:themeFillTint="80"/>
          </w:tcPr>
          <w:p w14:paraId="0CD9F647" w14:textId="77777777" w:rsidR="00120C26" w:rsidRPr="005128CC" w:rsidRDefault="00120C26"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w:t>
            </w:r>
            <w:r w:rsidR="004C6A5A" w:rsidRPr="005128CC">
              <w:rPr>
                <w:rFonts w:ascii="Arial" w:hAnsi="Arial" w:cs="Arial"/>
                <w:b/>
                <w:color w:val="FFFFFF" w:themeColor="background1"/>
                <w:sz w:val="20"/>
                <w:szCs w:val="20"/>
              </w:rPr>
              <w:t xml:space="preserve">costs </w:t>
            </w:r>
          </w:p>
        </w:tc>
        <w:tc>
          <w:tcPr>
            <w:tcW w:w="10631" w:type="dxa"/>
            <w:shd w:val="clear" w:color="auto" w:fill="7F7F7F" w:themeFill="text1" w:themeFillTint="80"/>
            <w:vAlign w:val="center"/>
          </w:tcPr>
          <w:p w14:paraId="20C9C48E" w14:textId="77777777" w:rsidR="00120C26" w:rsidRPr="005128CC" w:rsidRDefault="00120C26"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Notes</w:t>
            </w:r>
            <w:r w:rsidR="00EC77F0" w:rsidRPr="005128CC">
              <w:rPr>
                <w:rFonts w:ascii="Arial" w:hAnsi="Arial" w:cs="Arial"/>
                <w:b/>
                <w:color w:val="FFFFFF" w:themeColor="background1"/>
                <w:sz w:val="20"/>
                <w:szCs w:val="20"/>
              </w:rPr>
              <w:t xml:space="preserve"> - Discuss benefits and side effects and consider previous response</w:t>
            </w:r>
          </w:p>
        </w:tc>
      </w:tr>
      <w:tr w:rsidR="00ED3097" w:rsidRPr="005128CC" w14:paraId="56E33600" w14:textId="77777777" w:rsidTr="00120C26">
        <w:tc>
          <w:tcPr>
            <w:tcW w:w="2835" w:type="dxa"/>
            <w:shd w:val="clear" w:color="auto" w:fill="D9D9D9" w:themeFill="background1" w:themeFillShade="D9"/>
          </w:tcPr>
          <w:p w14:paraId="769F32BE"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General principles</w:t>
            </w:r>
          </w:p>
        </w:tc>
        <w:tc>
          <w:tcPr>
            <w:tcW w:w="1560" w:type="dxa"/>
            <w:shd w:val="clear" w:color="auto" w:fill="D9D9D9" w:themeFill="background1" w:themeFillShade="D9"/>
          </w:tcPr>
          <w:p w14:paraId="546A9763" w14:textId="77777777" w:rsidR="00ED3097" w:rsidRPr="005128CC" w:rsidRDefault="00ED3097" w:rsidP="006751BD">
            <w:pPr>
              <w:spacing w:before="40" w:after="40"/>
              <w:rPr>
                <w:rFonts w:ascii="Arial" w:hAnsi="Arial" w:cs="Arial"/>
                <w:sz w:val="20"/>
                <w:szCs w:val="20"/>
              </w:rPr>
            </w:pPr>
          </w:p>
        </w:tc>
        <w:tc>
          <w:tcPr>
            <w:tcW w:w="10631" w:type="dxa"/>
            <w:shd w:val="clear" w:color="auto" w:fill="D9D9D9" w:themeFill="background1" w:themeFillShade="D9"/>
          </w:tcPr>
          <w:p w14:paraId="183E8E41"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Review current and past treatments and adherence</w:t>
            </w:r>
          </w:p>
          <w:p w14:paraId="32E40C8F"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Increase the dose of the current treatment to the maximum dose;</w:t>
            </w:r>
          </w:p>
          <w:p w14:paraId="71C2A595"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Switch to an alternative evidence-based treatment not previously tried</w:t>
            </w:r>
          </w:p>
          <w:p w14:paraId="53574AF3"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Use a combination of psychological interventions and drug treatments.</w:t>
            </w:r>
          </w:p>
        </w:tc>
      </w:tr>
      <w:tr w:rsidR="00ED3097" w:rsidRPr="005128CC" w14:paraId="18B7AEF2" w14:textId="77777777" w:rsidTr="00120C26">
        <w:tc>
          <w:tcPr>
            <w:tcW w:w="2835" w:type="dxa"/>
            <w:shd w:val="clear" w:color="auto" w:fill="D9D9D9" w:themeFill="background1" w:themeFillShade="D9"/>
          </w:tcPr>
          <w:p w14:paraId="659B8327"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Antidepressant</w:t>
            </w:r>
          </w:p>
          <w:p w14:paraId="1A035140"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combinations</w:t>
            </w:r>
          </w:p>
        </w:tc>
        <w:tc>
          <w:tcPr>
            <w:tcW w:w="1560" w:type="dxa"/>
            <w:shd w:val="clear" w:color="auto" w:fill="D9D9D9" w:themeFill="background1" w:themeFillShade="D9"/>
          </w:tcPr>
          <w:p w14:paraId="0C50D52D"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140ED96C" w14:textId="4C678D0E"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Seek consultant advice. Limited evidence and side effects and interactions more likely</w:t>
            </w:r>
            <w:r w:rsidR="00B47754">
              <w:rPr>
                <w:rFonts w:ascii="Arial" w:hAnsi="Arial" w:cs="Arial"/>
                <w:noProof/>
                <w:color w:val="000000"/>
                <w:sz w:val="20"/>
                <w:szCs w:val="20"/>
              </w:rPr>
              <w:t>, including the risk of serotonin syndrome</w:t>
            </w:r>
          </w:p>
        </w:tc>
      </w:tr>
      <w:tr w:rsidR="00ED3097" w:rsidRPr="005128CC" w14:paraId="141A06F3" w14:textId="77777777" w:rsidTr="00120C26">
        <w:tc>
          <w:tcPr>
            <w:tcW w:w="2835" w:type="dxa"/>
            <w:shd w:val="clear" w:color="auto" w:fill="D9D9D9" w:themeFill="background1" w:themeFillShade="D9"/>
          </w:tcPr>
          <w:p w14:paraId="59BF41EB"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Antidepressant +</w:t>
            </w:r>
          </w:p>
          <w:p w14:paraId="1950C391"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Antipsychotic</w:t>
            </w:r>
          </w:p>
        </w:tc>
        <w:tc>
          <w:tcPr>
            <w:tcW w:w="1560" w:type="dxa"/>
            <w:shd w:val="clear" w:color="auto" w:fill="D9D9D9" w:themeFill="background1" w:themeFillShade="D9"/>
          </w:tcPr>
          <w:p w14:paraId="4A6B5A6E"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1379161D"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Consultant initiation only. Do not use routinely due to limited evidence of effect; Side effects and</w:t>
            </w:r>
          </w:p>
          <w:p w14:paraId="27521C72"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interactions more likely. Long-term use of antipsychotic should be avoided.</w:t>
            </w:r>
          </w:p>
        </w:tc>
      </w:tr>
      <w:tr w:rsidR="00ED3097" w:rsidRPr="005128CC" w14:paraId="22656A94" w14:textId="77777777" w:rsidTr="00120C26">
        <w:tc>
          <w:tcPr>
            <w:tcW w:w="2835" w:type="dxa"/>
            <w:shd w:val="clear" w:color="auto" w:fill="D9D9D9" w:themeFill="background1" w:themeFillShade="D9"/>
          </w:tcPr>
          <w:p w14:paraId="45896155"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Antidepressants +</w:t>
            </w:r>
          </w:p>
          <w:p w14:paraId="4267D78A"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other agents, e.g.</w:t>
            </w:r>
          </w:p>
          <w:p w14:paraId="24C4A4EC"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buspirone, diazepam,</w:t>
            </w:r>
          </w:p>
          <w:p w14:paraId="26F7B8C5"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pregabalin etc</w:t>
            </w:r>
          </w:p>
        </w:tc>
        <w:tc>
          <w:tcPr>
            <w:tcW w:w="1560" w:type="dxa"/>
            <w:shd w:val="clear" w:color="auto" w:fill="D9D9D9" w:themeFill="background1" w:themeFillShade="D9"/>
          </w:tcPr>
          <w:p w14:paraId="0878188A"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025217BD" w14:textId="77777777" w:rsidR="00ED3097" w:rsidRPr="005128CC" w:rsidRDefault="00ED3097" w:rsidP="006751BD">
            <w:pPr>
              <w:spacing w:before="40" w:after="40"/>
              <w:ind w:left="79" w:right="-239"/>
              <w:rPr>
                <w:rFonts w:ascii="Arial" w:hAnsi="Arial" w:cs="Arial"/>
                <w:sz w:val="20"/>
                <w:szCs w:val="20"/>
              </w:rPr>
            </w:pPr>
            <w:r w:rsidRPr="005128CC">
              <w:rPr>
                <w:rFonts w:ascii="Arial" w:hAnsi="Arial" w:cs="Arial"/>
                <w:noProof/>
                <w:color w:val="000000"/>
                <w:sz w:val="20"/>
                <w:szCs w:val="20"/>
              </w:rPr>
              <w:t>Seek consultant advice. No clear evidence of benefit. Check for contraindications</w:t>
            </w:r>
          </w:p>
        </w:tc>
      </w:tr>
      <w:tr w:rsidR="00ED3097" w:rsidRPr="005128CC" w14:paraId="7EA8AE32" w14:textId="77777777" w:rsidTr="00594939">
        <w:tc>
          <w:tcPr>
            <w:tcW w:w="2835" w:type="dxa"/>
            <w:tcBorders>
              <w:bottom w:val="single" w:sz="4" w:space="0" w:color="FFFFFF" w:themeColor="background1"/>
            </w:tcBorders>
            <w:shd w:val="clear" w:color="auto" w:fill="FFFFFF" w:themeFill="background1"/>
          </w:tcPr>
          <w:p w14:paraId="27B67D19" w14:textId="77777777" w:rsidR="00ED3097" w:rsidRPr="005128CC" w:rsidRDefault="00ED3097" w:rsidP="006751BD">
            <w:pPr>
              <w:pStyle w:val="ListParagraph"/>
              <w:spacing w:before="40" w:after="40"/>
              <w:ind w:left="0"/>
              <w:contextualSpacing w:val="0"/>
              <w:rPr>
                <w:rFonts w:ascii="Arial" w:hAnsi="Arial" w:cs="Arial"/>
                <w:color w:val="0070C0"/>
                <w:sz w:val="20"/>
                <w:szCs w:val="20"/>
              </w:rPr>
            </w:pPr>
          </w:p>
        </w:tc>
        <w:tc>
          <w:tcPr>
            <w:tcW w:w="1560" w:type="dxa"/>
            <w:tcBorders>
              <w:bottom w:val="single" w:sz="4" w:space="0" w:color="FFFFFF" w:themeColor="background1"/>
            </w:tcBorders>
            <w:shd w:val="clear" w:color="auto" w:fill="FFFFFF" w:themeFill="background1"/>
          </w:tcPr>
          <w:p w14:paraId="1EE9DD95" w14:textId="77777777" w:rsidR="00ED3097" w:rsidRPr="005128CC" w:rsidRDefault="00ED3097" w:rsidP="006751BD">
            <w:pPr>
              <w:pStyle w:val="ListParagraph"/>
              <w:spacing w:before="40" w:after="40"/>
              <w:ind w:left="0"/>
              <w:contextualSpacing w:val="0"/>
              <w:rPr>
                <w:rFonts w:ascii="Arial" w:hAnsi="Arial" w:cs="Arial"/>
                <w:color w:val="0070C0"/>
                <w:sz w:val="20"/>
                <w:szCs w:val="20"/>
              </w:rPr>
            </w:pPr>
          </w:p>
        </w:tc>
        <w:tc>
          <w:tcPr>
            <w:tcW w:w="10631" w:type="dxa"/>
            <w:tcBorders>
              <w:bottom w:val="single" w:sz="4" w:space="0" w:color="FFFFFF" w:themeColor="background1"/>
            </w:tcBorders>
            <w:shd w:val="clear" w:color="auto" w:fill="FFFFFF" w:themeFill="background1"/>
          </w:tcPr>
          <w:p w14:paraId="0CE66B22" w14:textId="77777777" w:rsidR="00ED3097" w:rsidRPr="005128CC" w:rsidRDefault="00ED3097" w:rsidP="006751BD">
            <w:pPr>
              <w:pStyle w:val="ListParagraph"/>
              <w:spacing w:before="40" w:after="40"/>
              <w:ind w:left="0"/>
              <w:contextualSpacing w:val="0"/>
              <w:rPr>
                <w:rFonts w:ascii="Arial" w:hAnsi="Arial" w:cs="Arial"/>
                <w:color w:val="0070C0"/>
                <w:sz w:val="20"/>
                <w:szCs w:val="20"/>
              </w:rPr>
            </w:pPr>
          </w:p>
        </w:tc>
      </w:tr>
    </w:tbl>
    <w:p w14:paraId="282FB2DF" w14:textId="77777777" w:rsidR="00594939" w:rsidRPr="000D6E47" w:rsidRDefault="00594939">
      <w:pPr>
        <w:rPr>
          <w:rFonts w:ascii="Arial" w:hAnsi="Arial" w:cs="Arial"/>
          <w:b/>
          <w:color w:val="0070C0"/>
        </w:rPr>
      </w:pPr>
      <w:r w:rsidRPr="000D6E47">
        <w:rPr>
          <w:rFonts w:ascii="Arial" w:hAnsi="Arial" w:cs="Arial"/>
          <w:b/>
          <w:color w:val="0070C0"/>
        </w:rPr>
        <w:br w:type="page"/>
      </w:r>
    </w:p>
    <w:p w14:paraId="48EDCE7B" w14:textId="77777777" w:rsidR="00E47A0B" w:rsidRPr="00594939" w:rsidRDefault="00594939" w:rsidP="005128CC">
      <w:pPr>
        <w:pStyle w:val="ListParagraph"/>
        <w:spacing w:before="120" w:after="120" w:line="240" w:lineRule="auto"/>
        <w:ind w:left="0"/>
        <w:contextualSpacing w:val="0"/>
        <w:rPr>
          <w:rFonts w:ascii="Arial" w:hAnsi="Arial" w:cs="Arial"/>
          <w:b/>
          <w:color w:val="0070C0"/>
        </w:rPr>
      </w:pPr>
      <w:r w:rsidRPr="00594939">
        <w:rPr>
          <w:rFonts w:ascii="Arial" w:hAnsi="Arial" w:cs="Arial"/>
          <w:b/>
          <w:color w:val="0070C0"/>
        </w:rPr>
        <w:lastRenderedPageBreak/>
        <w:t xml:space="preserve">Table 2: </w:t>
      </w:r>
      <w:r w:rsidR="00ED3097">
        <w:rPr>
          <w:rFonts w:ascii="Arial" w:hAnsi="Arial" w:cs="Arial"/>
          <w:b/>
          <w:color w:val="0070C0"/>
        </w:rPr>
        <w:t>PANIC DISORDER</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60"/>
        <w:gridCol w:w="10631"/>
      </w:tblGrid>
      <w:tr w:rsidR="00223E59" w:rsidRPr="005128CC" w14:paraId="22A5453F" w14:textId="77777777" w:rsidTr="00427328">
        <w:tc>
          <w:tcPr>
            <w:tcW w:w="2835" w:type="dxa"/>
            <w:shd w:val="clear" w:color="auto" w:fill="7F7F7F" w:themeFill="text1" w:themeFillTint="80"/>
          </w:tcPr>
          <w:p w14:paraId="21CF5746" w14:textId="77777777" w:rsidR="00223E59" w:rsidRPr="005128CC" w:rsidRDefault="00427328"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First Line </w:t>
            </w:r>
            <w:r w:rsidR="00223E59" w:rsidRPr="005128CC">
              <w:rPr>
                <w:rFonts w:ascii="Arial" w:hAnsi="Arial" w:cs="Arial"/>
                <w:b/>
                <w:color w:val="FFFFFF" w:themeColor="background1"/>
                <w:sz w:val="20"/>
                <w:szCs w:val="20"/>
              </w:rPr>
              <w:t xml:space="preserve"> </w:t>
            </w:r>
          </w:p>
        </w:tc>
        <w:tc>
          <w:tcPr>
            <w:tcW w:w="1560" w:type="dxa"/>
            <w:shd w:val="clear" w:color="auto" w:fill="7F7F7F" w:themeFill="text1" w:themeFillTint="80"/>
          </w:tcPr>
          <w:p w14:paraId="2A53DE44" w14:textId="77777777" w:rsidR="00223E59" w:rsidRPr="005128CC" w:rsidRDefault="00223E59"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costs </w:t>
            </w:r>
          </w:p>
        </w:tc>
        <w:tc>
          <w:tcPr>
            <w:tcW w:w="10631" w:type="dxa"/>
            <w:shd w:val="clear" w:color="auto" w:fill="7F7F7F" w:themeFill="text1" w:themeFillTint="80"/>
          </w:tcPr>
          <w:p w14:paraId="6E829544" w14:textId="77777777" w:rsidR="00223E59" w:rsidRPr="005128CC" w:rsidRDefault="00223E59"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Notes</w:t>
            </w:r>
          </w:p>
        </w:tc>
      </w:tr>
      <w:tr w:rsidR="00ED3097" w:rsidRPr="005128CC" w14:paraId="610B9935" w14:textId="77777777" w:rsidTr="00427328">
        <w:tc>
          <w:tcPr>
            <w:tcW w:w="2835" w:type="dxa"/>
            <w:tcBorders>
              <w:bottom w:val="single" w:sz="4" w:space="0" w:color="FFFFFF" w:themeColor="background1"/>
            </w:tcBorders>
            <w:shd w:val="clear" w:color="auto" w:fill="D9D9D9" w:themeFill="background1" w:themeFillShade="D9"/>
          </w:tcPr>
          <w:p w14:paraId="395E38F6"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SSRI eg</w:t>
            </w:r>
          </w:p>
          <w:p w14:paraId="6EBBFC3F"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Sertraline</w:t>
            </w:r>
          </w:p>
          <w:p w14:paraId="3CC8F6A5"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Citalopram</w:t>
            </w:r>
          </w:p>
          <w:p w14:paraId="04AAF83A"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Paroxetine</w:t>
            </w:r>
          </w:p>
        </w:tc>
        <w:tc>
          <w:tcPr>
            <w:tcW w:w="1560" w:type="dxa"/>
            <w:tcBorders>
              <w:bottom w:val="single" w:sz="4" w:space="0" w:color="FFFFFF" w:themeColor="background1"/>
            </w:tcBorders>
            <w:shd w:val="clear" w:color="auto" w:fill="D9D9D9" w:themeFill="background1" w:themeFillShade="D9"/>
          </w:tcPr>
          <w:p w14:paraId="2E018C35" w14:textId="77777777" w:rsidR="00ED3097" w:rsidRPr="005128CC" w:rsidRDefault="00ED3097" w:rsidP="006751BD">
            <w:pPr>
              <w:spacing w:before="40" w:after="40"/>
              <w:ind w:left="104" w:right="-239"/>
              <w:rPr>
                <w:rFonts w:ascii="Arial" w:hAnsi="Arial" w:cs="Arial"/>
                <w:noProof/>
                <w:color w:val="000000"/>
                <w:sz w:val="20"/>
                <w:szCs w:val="20"/>
              </w:rPr>
            </w:pPr>
          </w:p>
          <w:p w14:paraId="0C6C9D81"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p w14:paraId="3DE325F2"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p w14:paraId="4E3384B6"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2977251E"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Offer psychological therapies and encourage self help</w:t>
            </w:r>
          </w:p>
          <w:p w14:paraId="5AD7B20F"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Consider preference, previous response, side effects and potential interactions</w:t>
            </w:r>
          </w:p>
          <w:p w14:paraId="1FD6D234"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Start with low doses then gradually increase to a full dose, as tolerated</w:t>
            </w:r>
          </w:p>
          <w:p w14:paraId="0F4AC5D2"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Citalopram is more cardiotoxic than other SSRIs and can cause QT prolongation at higher doses</w:t>
            </w:r>
          </w:p>
          <w:p w14:paraId="4293D438"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Paroxetine has a short half life and a high risk of withdrawal symptoms</w:t>
            </w:r>
          </w:p>
          <w:p w14:paraId="3C413466"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Fluoxetine and fluvoxamine are not licenced for panic disorder; may be tried if previous good</w:t>
            </w:r>
          </w:p>
          <w:p w14:paraId="2C83EE8B"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response shown. Consider long half life when switching or stopping fluoxetine. GI side effects are</w:t>
            </w:r>
          </w:p>
          <w:p w14:paraId="5C631AE5"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common with fluvoxamine; bradycardia and ECG changes have been noted</w:t>
            </w:r>
          </w:p>
        </w:tc>
      </w:tr>
      <w:tr w:rsidR="00ED3097" w:rsidRPr="005128CC" w14:paraId="19F2D27D" w14:textId="77777777" w:rsidTr="00427328">
        <w:tc>
          <w:tcPr>
            <w:tcW w:w="2835" w:type="dxa"/>
            <w:shd w:val="clear" w:color="auto" w:fill="7F7F7F" w:themeFill="text1" w:themeFillTint="80"/>
          </w:tcPr>
          <w:p w14:paraId="1501742D" w14:textId="77777777" w:rsidR="00ED3097" w:rsidRPr="005128CC" w:rsidRDefault="00ED3097"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Second Line </w:t>
            </w:r>
          </w:p>
        </w:tc>
        <w:tc>
          <w:tcPr>
            <w:tcW w:w="1560" w:type="dxa"/>
            <w:shd w:val="clear" w:color="auto" w:fill="7F7F7F" w:themeFill="text1" w:themeFillTint="80"/>
          </w:tcPr>
          <w:p w14:paraId="73D2A7BA" w14:textId="77777777" w:rsidR="00ED3097" w:rsidRPr="005128CC" w:rsidRDefault="00ED3097" w:rsidP="006751BD">
            <w:pPr>
              <w:pStyle w:val="ListParagraph"/>
              <w:spacing w:before="40" w:after="40"/>
              <w:ind w:left="0"/>
              <w:contextualSpacing w:val="0"/>
              <w:rPr>
                <w:rFonts w:ascii="Arial" w:hAnsi="Arial" w:cs="Arial"/>
                <w:b/>
                <w:color w:val="FFFFFF" w:themeColor="background1"/>
                <w:sz w:val="20"/>
                <w:szCs w:val="20"/>
              </w:rPr>
            </w:pPr>
            <w:r w:rsidRPr="005128CC">
              <w:rPr>
                <w:rFonts w:ascii="Arial" w:hAnsi="Arial" w:cs="Arial"/>
                <w:b/>
                <w:color w:val="FFFFFF" w:themeColor="background1"/>
                <w:sz w:val="20"/>
                <w:szCs w:val="20"/>
              </w:rPr>
              <w:t xml:space="preserve">Relative costs </w:t>
            </w:r>
          </w:p>
        </w:tc>
        <w:tc>
          <w:tcPr>
            <w:tcW w:w="10631" w:type="dxa"/>
            <w:shd w:val="clear" w:color="auto" w:fill="7F7F7F" w:themeFill="text1" w:themeFillTint="80"/>
          </w:tcPr>
          <w:p w14:paraId="7379926A" w14:textId="77777777" w:rsidR="00ED3097" w:rsidRPr="005128CC" w:rsidRDefault="00ED3097" w:rsidP="006751BD">
            <w:pPr>
              <w:spacing w:before="40" w:after="40"/>
              <w:rPr>
                <w:rFonts w:ascii="Arial" w:hAnsi="Arial" w:cs="Arial"/>
                <w:b/>
                <w:color w:val="FFFFFF" w:themeColor="background1"/>
                <w:sz w:val="20"/>
                <w:szCs w:val="20"/>
              </w:rPr>
            </w:pPr>
            <w:r w:rsidRPr="005128CC">
              <w:rPr>
                <w:rFonts w:ascii="Arial" w:hAnsi="Arial" w:cs="Arial"/>
                <w:b/>
                <w:color w:val="FFFFFF" w:themeColor="background1"/>
                <w:sz w:val="20"/>
                <w:szCs w:val="20"/>
              </w:rPr>
              <w:t>Notes</w:t>
            </w:r>
          </w:p>
        </w:tc>
      </w:tr>
      <w:tr w:rsidR="00ED3097" w:rsidRPr="005128CC" w14:paraId="020AA66B" w14:textId="77777777" w:rsidTr="00223E59">
        <w:tc>
          <w:tcPr>
            <w:tcW w:w="2835" w:type="dxa"/>
            <w:shd w:val="clear" w:color="auto" w:fill="D9D9D9" w:themeFill="background1" w:themeFillShade="D9"/>
          </w:tcPr>
          <w:p w14:paraId="1381C122"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Mirtazapine</w:t>
            </w:r>
          </w:p>
        </w:tc>
        <w:tc>
          <w:tcPr>
            <w:tcW w:w="1560" w:type="dxa"/>
            <w:shd w:val="clear" w:color="auto" w:fill="D9D9D9" w:themeFill="background1" w:themeFillShade="D9"/>
          </w:tcPr>
          <w:p w14:paraId="73DADFE8"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2ECCCE14"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Not licenced for panic disorder but has shown some benefit; sedating; risk of weight gain</w:t>
            </w:r>
          </w:p>
        </w:tc>
      </w:tr>
      <w:tr w:rsidR="00ED3097" w:rsidRPr="005128CC" w14:paraId="12F2023D" w14:textId="77777777" w:rsidTr="00223E59">
        <w:tc>
          <w:tcPr>
            <w:tcW w:w="2835" w:type="dxa"/>
            <w:shd w:val="clear" w:color="auto" w:fill="D9D9D9" w:themeFill="background1" w:themeFillShade="D9"/>
          </w:tcPr>
          <w:p w14:paraId="6D9EFF7B"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Venlafaxine</w:t>
            </w:r>
          </w:p>
        </w:tc>
        <w:tc>
          <w:tcPr>
            <w:tcW w:w="1560" w:type="dxa"/>
            <w:shd w:val="clear" w:color="auto" w:fill="D9D9D9" w:themeFill="background1" w:themeFillShade="D9"/>
          </w:tcPr>
          <w:p w14:paraId="07BBFCC3"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51DC7E9C"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Monitor blood pressure; cardiotoxic in overdose</w:t>
            </w:r>
          </w:p>
        </w:tc>
      </w:tr>
      <w:tr w:rsidR="00ED3097" w:rsidRPr="005128CC" w14:paraId="3D00A521" w14:textId="77777777" w:rsidTr="00223E59">
        <w:tc>
          <w:tcPr>
            <w:tcW w:w="2835" w:type="dxa"/>
            <w:shd w:val="clear" w:color="auto" w:fill="D9D9D9" w:themeFill="background1" w:themeFillShade="D9"/>
          </w:tcPr>
          <w:p w14:paraId="694C9049"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Escitalopram</w:t>
            </w:r>
          </w:p>
        </w:tc>
        <w:tc>
          <w:tcPr>
            <w:tcW w:w="1560" w:type="dxa"/>
            <w:shd w:val="clear" w:color="auto" w:fill="D9D9D9" w:themeFill="background1" w:themeFillShade="D9"/>
          </w:tcPr>
          <w:p w14:paraId="39482E37"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2121CAD3"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Branded product and costs greater than generic SSRIs; Consider for those who have failed to</w:t>
            </w:r>
          </w:p>
          <w:p w14:paraId="286EC823"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respond to initial treatments with generic SSRI; Cause dose-dependent QT prolongation</w:t>
            </w:r>
          </w:p>
        </w:tc>
      </w:tr>
      <w:tr w:rsidR="00ED3097" w:rsidRPr="005128CC" w14:paraId="50C6D8B5" w14:textId="77777777" w:rsidTr="00ED3097">
        <w:trPr>
          <w:trHeight w:val="604"/>
        </w:trPr>
        <w:tc>
          <w:tcPr>
            <w:tcW w:w="2835" w:type="dxa"/>
            <w:shd w:val="clear" w:color="auto" w:fill="D9D9D9" w:themeFill="background1" w:themeFillShade="D9"/>
          </w:tcPr>
          <w:p w14:paraId="5CCBC897"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noProof/>
                <w:color w:val="000000"/>
                <w:sz w:val="20"/>
                <w:szCs w:val="20"/>
              </w:rPr>
              <w:t>Benzodiazepines</w:t>
            </w:r>
          </w:p>
        </w:tc>
        <w:tc>
          <w:tcPr>
            <w:tcW w:w="1560" w:type="dxa"/>
            <w:shd w:val="clear" w:color="auto" w:fill="D9D9D9" w:themeFill="background1" w:themeFillShade="D9"/>
          </w:tcPr>
          <w:p w14:paraId="10DB2E63"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noProof/>
                <w:color w:val="000000"/>
                <w:sz w:val="20"/>
                <w:szCs w:val="20"/>
              </w:rPr>
              <w:t>£</w:t>
            </w:r>
          </w:p>
        </w:tc>
        <w:tc>
          <w:tcPr>
            <w:tcW w:w="10631" w:type="dxa"/>
            <w:shd w:val="clear" w:color="auto" w:fill="D9D9D9" w:themeFill="background1" w:themeFillShade="D9"/>
          </w:tcPr>
          <w:p w14:paraId="438F4429"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Benzodiazepines should not be prescribed except for short term use in severe, distressing and</w:t>
            </w:r>
          </w:p>
          <w:p w14:paraId="6A36BB93"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disabling panic symptoms</w:t>
            </w:r>
          </w:p>
        </w:tc>
      </w:tr>
    </w:tbl>
    <w:p w14:paraId="3C8923E0" w14:textId="77777777" w:rsidR="00594939" w:rsidRDefault="00C03364" w:rsidP="005128CC">
      <w:pPr>
        <w:pStyle w:val="ListParagraph"/>
        <w:spacing w:before="120" w:after="120" w:line="240" w:lineRule="auto"/>
        <w:ind w:left="0"/>
        <w:contextualSpacing w:val="0"/>
        <w:rPr>
          <w:rFonts w:ascii="Arial" w:hAnsi="Arial" w:cs="Arial"/>
          <w:b/>
          <w:color w:val="0070C0"/>
        </w:rPr>
      </w:pPr>
      <w:r w:rsidRPr="00C03364">
        <w:rPr>
          <w:rFonts w:ascii="Arial" w:hAnsi="Arial" w:cs="Arial"/>
          <w:b/>
          <w:color w:val="0070C0"/>
        </w:rPr>
        <w:t xml:space="preserve">Table 3: </w:t>
      </w:r>
      <w:r w:rsidR="00ED3097">
        <w:rPr>
          <w:rFonts w:ascii="Arial" w:hAnsi="Arial" w:cs="Arial"/>
          <w:b/>
          <w:color w:val="0070C0"/>
        </w:rPr>
        <w:t>SOCIAL ANXIETY DISORDER</w:t>
      </w:r>
      <w:r w:rsidRPr="00C03364">
        <w:rPr>
          <w:rFonts w:ascii="Arial" w:hAnsi="Arial" w:cs="Arial"/>
          <w:b/>
          <w:color w:val="0070C0"/>
        </w:rPr>
        <w:t xml:space="preserve">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ED3097" w:rsidRPr="005128CC" w14:paraId="226A6A47" w14:textId="77777777" w:rsidTr="00ED3097">
        <w:tc>
          <w:tcPr>
            <w:tcW w:w="2835" w:type="dxa"/>
            <w:shd w:val="clear" w:color="auto" w:fill="7F7F7F" w:themeFill="text1" w:themeFillTint="80"/>
          </w:tcPr>
          <w:p w14:paraId="402CA29D"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b/>
                <w:noProof/>
                <w:color w:val="FFFFFF"/>
                <w:sz w:val="20"/>
                <w:szCs w:val="20"/>
              </w:rPr>
              <w:t>First</w:t>
            </w:r>
            <w:r w:rsidRPr="005128CC">
              <w:rPr>
                <w:rFonts w:ascii="Arial" w:hAnsi="Arial" w:cs="Arial"/>
                <w:b/>
                <w:noProof/>
                <w:color w:val="000000"/>
                <w:sz w:val="20"/>
                <w:szCs w:val="20"/>
              </w:rPr>
              <w:t> </w:t>
            </w:r>
            <w:r w:rsidRPr="005128CC">
              <w:rPr>
                <w:rFonts w:ascii="Arial" w:hAnsi="Arial" w:cs="Arial"/>
                <w:b/>
                <w:noProof/>
                <w:color w:val="FFFFFF"/>
                <w:sz w:val="20"/>
                <w:szCs w:val="20"/>
              </w:rPr>
              <w:t>Line:</w:t>
            </w:r>
          </w:p>
        </w:tc>
        <w:tc>
          <w:tcPr>
            <w:tcW w:w="1560" w:type="dxa"/>
            <w:shd w:val="clear" w:color="auto" w:fill="7F7F7F" w:themeFill="text1" w:themeFillTint="80"/>
          </w:tcPr>
          <w:p w14:paraId="0B67303D"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FFFFFF"/>
                <w:sz w:val="20"/>
                <w:szCs w:val="20"/>
              </w:rPr>
              <w:t>Relative</w:t>
            </w:r>
            <w:r w:rsidRPr="005128CC">
              <w:rPr>
                <w:rFonts w:ascii="Arial" w:hAnsi="Arial" w:cs="Arial"/>
                <w:b/>
                <w:noProof/>
                <w:color w:val="000000"/>
                <w:sz w:val="20"/>
                <w:szCs w:val="20"/>
              </w:rPr>
              <w:t> </w:t>
            </w:r>
            <w:r w:rsidRPr="005128CC">
              <w:rPr>
                <w:rFonts w:ascii="Arial" w:hAnsi="Arial" w:cs="Arial"/>
                <w:b/>
                <w:noProof/>
                <w:color w:val="FFFFFF"/>
                <w:sz w:val="20"/>
                <w:szCs w:val="20"/>
              </w:rPr>
              <w:t>Cost</w:t>
            </w:r>
          </w:p>
        </w:tc>
        <w:tc>
          <w:tcPr>
            <w:tcW w:w="10631" w:type="dxa"/>
            <w:shd w:val="clear" w:color="auto" w:fill="7F7F7F" w:themeFill="text1" w:themeFillTint="80"/>
          </w:tcPr>
          <w:p w14:paraId="10B2476A"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b/>
                <w:noProof/>
                <w:color w:val="FFFFFF"/>
                <w:sz w:val="20"/>
                <w:szCs w:val="20"/>
              </w:rPr>
              <w:t>Notes</w:t>
            </w:r>
          </w:p>
        </w:tc>
      </w:tr>
      <w:tr w:rsidR="00ED3097" w:rsidRPr="005128CC" w14:paraId="6BA8B7FE" w14:textId="77777777" w:rsidTr="00ED3097">
        <w:tc>
          <w:tcPr>
            <w:tcW w:w="2835" w:type="dxa"/>
            <w:tcBorders>
              <w:bottom w:val="single" w:sz="4" w:space="0" w:color="FFFFFF" w:themeColor="background1"/>
            </w:tcBorders>
            <w:shd w:val="clear" w:color="auto" w:fill="D9D9D9" w:themeFill="background1" w:themeFillShade="D9"/>
          </w:tcPr>
          <w:p w14:paraId="677BE52E"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b/>
                <w:noProof/>
                <w:color w:val="000000"/>
                <w:sz w:val="20"/>
                <w:szCs w:val="20"/>
              </w:rPr>
              <w:t>SSRI e.g.</w:t>
            </w:r>
          </w:p>
          <w:p w14:paraId="1714092E"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Paroxetine</w:t>
            </w:r>
          </w:p>
          <w:p w14:paraId="76B0D9A9"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Sertraline</w:t>
            </w:r>
          </w:p>
          <w:p w14:paraId="799B322F"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Fluoxetine</w:t>
            </w:r>
          </w:p>
        </w:tc>
        <w:tc>
          <w:tcPr>
            <w:tcW w:w="1560" w:type="dxa"/>
            <w:tcBorders>
              <w:bottom w:val="single" w:sz="4" w:space="0" w:color="FFFFFF" w:themeColor="background1"/>
            </w:tcBorders>
            <w:shd w:val="clear" w:color="auto" w:fill="D9D9D9" w:themeFill="background1" w:themeFillShade="D9"/>
          </w:tcPr>
          <w:p w14:paraId="51E136C6" w14:textId="77777777" w:rsidR="00ED3097" w:rsidRPr="005128CC" w:rsidRDefault="00ED3097" w:rsidP="006751BD">
            <w:pPr>
              <w:spacing w:before="40" w:after="40"/>
              <w:ind w:left="104" w:right="-239"/>
              <w:rPr>
                <w:rFonts w:ascii="Arial" w:hAnsi="Arial" w:cs="Arial"/>
                <w:sz w:val="20"/>
                <w:szCs w:val="20"/>
              </w:rPr>
            </w:pPr>
          </w:p>
          <w:p w14:paraId="47FF33F4"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p>
          <w:p w14:paraId="2478F24E"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p>
          <w:p w14:paraId="4EF46BEF"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11DD8240"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Offer psychological interventions - CBT is known to be efficacious for long-term treatment</w:t>
            </w:r>
          </w:p>
          <w:p w14:paraId="79DA7D3B"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SSRIs considered to be the drugs of choice for the treatment of social anxiety disorder</w:t>
            </w:r>
          </w:p>
          <w:p w14:paraId="4E03322D"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Consider combining SSRI + CBT in those with high risk of relapse</w:t>
            </w:r>
          </w:p>
        </w:tc>
      </w:tr>
      <w:tr w:rsidR="00ED3097" w:rsidRPr="005128CC" w14:paraId="2056917C" w14:textId="77777777" w:rsidTr="00ED3097">
        <w:tc>
          <w:tcPr>
            <w:tcW w:w="2835" w:type="dxa"/>
            <w:shd w:val="clear" w:color="auto" w:fill="7F7F7F" w:themeFill="text1" w:themeFillTint="80"/>
          </w:tcPr>
          <w:p w14:paraId="42A78EB3"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b/>
                <w:noProof/>
                <w:color w:val="FFFFFF"/>
                <w:sz w:val="20"/>
                <w:szCs w:val="20"/>
              </w:rPr>
              <w:t>Second</w:t>
            </w:r>
            <w:r w:rsidRPr="005128CC">
              <w:rPr>
                <w:rFonts w:ascii="Arial" w:hAnsi="Arial" w:cs="Arial"/>
                <w:b/>
                <w:noProof/>
                <w:color w:val="000000"/>
                <w:sz w:val="20"/>
                <w:szCs w:val="20"/>
              </w:rPr>
              <w:t> </w:t>
            </w:r>
            <w:r w:rsidRPr="005128CC">
              <w:rPr>
                <w:rFonts w:ascii="Arial" w:hAnsi="Arial" w:cs="Arial"/>
                <w:b/>
                <w:noProof/>
                <w:color w:val="FFFFFF"/>
                <w:sz w:val="20"/>
                <w:szCs w:val="20"/>
              </w:rPr>
              <w:t>Line:</w:t>
            </w:r>
          </w:p>
        </w:tc>
        <w:tc>
          <w:tcPr>
            <w:tcW w:w="1560" w:type="dxa"/>
            <w:shd w:val="clear" w:color="auto" w:fill="7F7F7F" w:themeFill="text1" w:themeFillTint="80"/>
          </w:tcPr>
          <w:p w14:paraId="311A3395"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FFFFFF"/>
                <w:sz w:val="20"/>
                <w:szCs w:val="20"/>
              </w:rPr>
              <w:t>Relative</w:t>
            </w:r>
            <w:r w:rsidRPr="005128CC">
              <w:rPr>
                <w:rFonts w:ascii="Arial" w:hAnsi="Arial" w:cs="Arial"/>
                <w:b/>
                <w:noProof/>
                <w:color w:val="000000"/>
                <w:sz w:val="20"/>
                <w:szCs w:val="20"/>
              </w:rPr>
              <w:t> </w:t>
            </w:r>
            <w:r w:rsidRPr="005128CC">
              <w:rPr>
                <w:rFonts w:ascii="Arial" w:hAnsi="Arial" w:cs="Arial"/>
                <w:b/>
                <w:noProof/>
                <w:color w:val="FFFFFF"/>
                <w:sz w:val="20"/>
                <w:szCs w:val="20"/>
              </w:rPr>
              <w:t>Cost</w:t>
            </w:r>
          </w:p>
        </w:tc>
        <w:tc>
          <w:tcPr>
            <w:tcW w:w="10631" w:type="dxa"/>
            <w:shd w:val="clear" w:color="auto" w:fill="7F7F7F" w:themeFill="text1" w:themeFillTint="80"/>
          </w:tcPr>
          <w:p w14:paraId="5539AAB4"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b/>
                <w:noProof/>
                <w:color w:val="FFFFFF"/>
                <w:sz w:val="20"/>
                <w:szCs w:val="20"/>
              </w:rPr>
              <w:t>Notes</w:t>
            </w:r>
          </w:p>
        </w:tc>
      </w:tr>
      <w:tr w:rsidR="00ED3097" w:rsidRPr="005128CC" w14:paraId="5E84D06A" w14:textId="77777777" w:rsidTr="00ED3097">
        <w:tc>
          <w:tcPr>
            <w:tcW w:w="2835" w:type="dxa"/>
            <w:shd w:val="clear" w:color="auto" w:fill="D9D9D9" w:themeFill="background1" w:themeFillShade="D9"/>
          </w:tcPr>
          <w:p w14:paraId="34181093"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b/>
                <w:noProof/>
                <w:color w:val="000000"/>
                <w:sz w:val="20"/>
                <w:szCs w:val="20"/>
              </w:rPr>
              <w:t>Alternative SSRI</w:t>
            </w:r>
          </w:p>
        </w:tc>
        <w:tc>
          <w:tcPr>
            <w:tcW w:w="1560" w:type="dxa"/>
            <w:shd w:val="clear" w:color="auto" w:fill="D9D9D9" w:themeFill="background1" w:themeFillShade="D9"/>
          </w:tcPr>
          <w:p w14:paraId="1A4098AB" w14:textId="77777777" w:rsidR="00ED3097" w:rsidRPr="005128CC" w:rsidRDefault="00ED3097" w:rsidP="006751BD">
            <w:pPr>
              <w:spacing w:before="40" w:after="40"/>
              <w:rPr>
                <w:rFonts w:ascii="Arial" w:hAnsi="Arial" w:cs="Arial"/>
                <w:sz w:val="20"/>
                <w:szCs w:val="20"/>
              </w:rPr>
            </w:pPr>
          </w:p>
        </w:tc>
        <w:tc>
          <w:tcPr>
            <w:tcW w:w="10631" w:type="dxa"/>
            <w:shd w:val="clear" w:color="auto" w:fill="D9D9D9" w:themeFill="background1" w:themeFillShade="D9"/>
          </w:tcPr>
          <w:p w14:paraId="3B2D939D"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Offer another SSRI not tried first-line</w:t>
            </w:r>
          </w:p>
        </w:tc>
      </w:tr>
      <w:tr w:rsidR="00ED3097" w:rsidRPr="005128CC" w14:paraId="16C684A4" w14:textId="77777777" w:rsidTr="00ED3097">
        <w:tc>
          <w:tcPr>
            <w:tcW w:w="2835" w:type="dxa"/>
            <w:shd w:val="clear" w:color="auto" w:fill="D9D9D9" w:themeFill="background1" w:themeFillShade="D9"/>
          </w:tcPr>
          <w:p w14:paraId="283C5F4E"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Fluvoxamine</w:t>
            </w:r>
          </w:p>
        </w:tc>
        <w:tc>
          <w:tcPr>
            <w:tcW w:w="1560" w:type="dxa"/>
            <w:shd w:val="clear" w:color="auto" w:fill="D9D9D9" w:themeFill="background1" w:themeFillShade="D9"/>
          </w:tcPr>
          <w:p w14:paraId="2F210349"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p>
        </w:tc>
        <w:tc>
          <w:tcPr>
            <w:tcW w:w="10631" w:type="dxa"/>
            <w:shd w:val="clear" w:color="auto" w:fill="D9D9D9" w:themeFill="background1" w:themeFillShade="D9"/>
          </w:tcPr>
          <w:p w14:paraId="2087DA18"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Risk of nausea and vomiting higher with fluvoxamine than other SSRIs; Risk of interactions</w:t>
            </w:r>
          </w:p>
        </w:tc>
      </w:tr>
      <w:tr w:rsidR="00ED3097" w:rsidRPr="005128CC" w14:paraId="5E6FCD66" w14:textId="77777777" w:rsidTr="00ED3097">
        <w:tc>
          <w:tcPr>
            <w:tcW w:w="2835" w:type="dxa"/>
            <w:shd w:val="clear" w:color="auto" w:fill="D9D9D9" w:themeFill="background1" w:themeFillShade="D9"/>
          </w:tcPr>
          <w:p w14:paraId="58DB4AB6"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Escitalopram</w:t>
            </w:r>
          </w:p>
        </w:tc>
        <w:tc>
          <w:tcPr>
            <w:tcW w:w="1560" w:type="dxa"/>
            <w:shd w:val="clear" w:color="auto" w:fill="D9D9D9" w:themeFill="background1" w:themeFillShade="D9"/>
          </w:tcPr>
          <w:p w14:paraId="6FCE1EBA"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p>
        </w:tc>
        <w:tc>
          <w:tcPr>
            <w:tcW w:w="10631" w:type="dxa"/>
            <w:shd w:val="clear" w:color="auto" w:fill="D9D9D9" w:themeFill="background1" w:themeFillShade="D9"/>
          </w:tcPr>
          <w:p w14:paraId="517DB404"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Usually 2-4 weeks are necessary to obtain symptom relief with escitalopram</w:t>
            </w:r>
          </w:p>
        </w:tc>
      </w:tr>
      <w:tr w:rsidR="00ED3097" w:rsidRPr="005128CC" w14:paraId="65334A39" w14:textId="77777777" w:rsidTr="00ED3097">
        <w:tc>
          <w:tcPr>
            <w:tcW w:w="2835" w:type="dxa"/>
            <w:shd w:val="clear" w:color="auto" w:fill="D9D9D9" w:themeFill="background1" w:themeFillShade="D9"/>
          </w:tcPr>
          <w:p w14:paraId="0227BAFE" w14:textId="77777777" w:rsidR="00ED3097" w:rsidRPr="005128CC" w:rsidRDefault="00ED3097" w:rsidP="006751BD">
            <w:pPr>
              <w:spacing w:before="40" w:after="40"/>
              <w:ind w:left="102" w:right="-239"/>
              <w:rPr>
                <w:rFonts w:ascii="Arial" w:hAnsi="Arial" w:cs="Arial"/>
                <w:sz w:val="20"/>
                <w:szCs w:val="20"/>
              </w:rPr>
            </w:pPr>
            <w:r w:rsidRPr="005128CC">
              <w:rPr>
                <w:rFonts w:ascii="Arial" w:hAnsi="Arial" w:cs="Arial"/>
                <w:b/>
                <w:noProof/>
                <w:color w:val="000000"/>
                <w:sz w:val="20"/>
                <w:szCs w:val="20"/>
              </w:rPr>
              <w:t>SNRIs</w:t>
            </w:r>
          </w:p>
        </w:tc>
        <w:tc>
          <w:tcPr>
            <w:tcW w:w="1560" w:type="dxa"/>
            <w:shd w:val="clear" w:color="auto" w:fill="D9D9D9" w:themeFill="background1" w:themeFillShade="D9"/>
          </w:tcPr>
          <w:p w14:paraId="493D5C31" w14:textId="77777777" w:rsidR="00ED3097" w:rsidRPr="005128CC" w:rsidRDefault="00ED3097" w:rsidP="006751BD">
            <w:pPr>
              <w:spacing w:before="40" w:after="40"/>
              <w:rPr>
                <w:rFonts w:ascii="Arial" w:hAnsi="Arial" w:cs="Arial"/>
                <w:sz w:val="20"/>
                <w:szCs w:val="20"/>
              </w:rPr>
            </w:pPr>
          </w:p>
        </w:tc>
        <w:tc>
          <w:tcPr>
            <w:tcW w:w="10631" w:type="dxa"/>
            <w:shd w:val="clear" w:color="auto" w:fill="D9D9D9" w:themeFill="background1" w:themeFillShade="D9"/>
          </w:tcPr>
          <w:p w14:paraId="5206AD4D" w14:textId="77777777" w:rsidR="00ED3097" w:rsidRPr="005128CC" w:rsidRDefault="00ED3097" w:rsidP="006751BD">
            <w:pPr>
              <w:spacing w:before="40" w:after="40"/>
              <w:rPr>
                <w:rFonts w:ascii="Arial" w:hAnsi="Arial" w:cs="Arial"/>
                <w:sz w:val="20"/>
                <w:szCs w:val="20"/>
              </w:rPr>
            </w:pPr>
          </w:p>
        </w:tc>
      </w:tr>
      <w:tr w:rsidR="00ED3097" w:rsidRPr="005128CC" w14:paraId="01173B91" w14:textId="77777777" w:rsidTr="00ED3097">
        <w:tc>
          <w:tcPr>
            <w:tcW w:w="2835" w:type="dxa"/>
            <w:shd w:val="clear" w:color="auto" w:fill="D9D9D9" w:themeFill="background1" w:themeFillShade="D9"/>
          </w:tcPr>
          <w:p w14:paraId="7BB35215" w14:textId="77777777" w:rsidR="00ED3097" w:rsidRPr="005128CC" w:rsidRDefault="006C7019" w:rsidP="006751BD">
            <w:pPr>
              <w:spacing w:before="40" w:after="40"/>
              <w:ind w:left="102" w:right="-239"/>
              <w:rPr>
                <w:rFonts w:ascii="Arial" w:hAnsi="Arial" w:cs="Arial"/>
                <w:sz w:val="20"/>
                <w:szCs w:val="20"/>
              </w:rPr>
            </w:pPr>
            <w:r w:rsidRPr="005128CC">
              <w:rPr>
                <w:rFonts w:ascii="Arial" w:hAnsi="Arial" w:cs="Arial"/>
                <w:noProof/>
                <w:color w:val="000000"/>
                <w:sz w:val="20"/>
                <w:szCs w:val="20"/>
              </w:rPr>
              <w:t xml:space="preserve">   </w:t>
            </w:r>
            <w:r w:rsidR="00ED3097" w:rsidRPr="005128CC">
              <w:rPr>
                <w:rFonts w:ascii="Arial" w:hAnsi="Arial" w:cs="Arial"/>
                <w:noProof/>
                <w:color w:val="000000"/>
                <w:sz w:val="20"/>
                <w:szCs w:val="20"/>
              </w:rPr>
              <w:t>Venlafaxine</w:t>
            </w:r>
          </w:p>
        </w:tc>
        <w:tc>
          <w:tcPr>
            <w:tcW w:w="1560" w:type="dxa"/>
            <w:shd w:val="clear" w:color="auto" w:fill="D9D9D9" w:themeFill="background1" w:themeFillShade="D9"/>
          </w:tcPr>
          <w:p w14:paraId="2960E69E" w14:textId="77777777" w:rsidR="00ED3097" w:rsidRPr="005128CC" w:rsidRDefault="00ED3097" w:rsidP="006751BD">
            <w:pPr>
              <w:spacing w:before="40" w:after="40"/>
              <w:ind w:left="104" w:right="-239"/>
              <w:rPr>
                <w:rFonts w:ascii="Arial" w:hAnsi="Arial" w:cs="Arial"/>
                <w:sz w:val="20"/>
                <w:szCs w:val="20"/>
              </w:rPr>
            </w:pPr>
            <w:r w:rsidRPr="005128CC">
              <w:rPr>
                <w:rFonts w:ascii="Arial" w:hAnsi="Arial" w:cs="Arial"/>
                <w:b/>
                <w:noProof/>
                <w:color w:val="000000"/>
                <w:sz w:val="20"/>
                <w:szCs w:val="20"/>
              </w:rPr>
              <w:t>£</w:t>
            </w:r>
            <w:r w:rsidR="003560E9" w:rsidRPr="005128CC">
              <w:rPr>
                <w:rFonts w:ascii="Arial" w:hAnsi="Arial" w:cs="Arial"/>
                <w:b/>
                <w:noProof/>
                <w:color w:val="000000"/>
                <w:sz w:val="20"/>
                <w:szCs w:val="20"/>
              </w:rPr>
              <w:t xml:space="preserve"> </w:t>
            </w:r>
            <w:r w:rsidRPr="005128CC">
              <w:rPr>
                <w:rFonts w:ascii="Arial" w:hAnsi="Arial" w:cs="Arial"/>
                <w:b/>
                <w:noProof/>
                <w:color w:val="000000"/>
                <w:sz w:val="20"/>
                <w:szCs w:val="20"/>
              </w:rPr>
              <w:t>-</w:t>
            </w:r>
            <w:r w:rsidR="003560E9" w:rsidRPr="005128CC">
              <w:rPr>
                <w:rFonts w:ascii="Arial" w:hAnsi="Arial" w:cs="Arial"/>
                <w:b/>
                <w:noProof/>
                <w:color w:val="000000"/>
                <w:sz w:val="20"/>
                <w:szCs w:val="20"/>
              </w:rPr>
              <w:t xml:space="preserve"> </w:t>
            </w:r>
            <w:r w:rsidRPr="005128CC">
              <w:rPr>
                <w:rFonts w:ascii="Arial" w:hAnsi="Arial" w:cs="Arial"/>
                <w:b/>
                <w:noProof/>
                <w:color w:val="000000"/>
                <w:sz w:val="20"/>
                <w:szCs w:val="20"/>
              </w:rPr>
              <w:t>££</w:t>
            </w:r>
          </w:p>
        </w:tc>
        <w:tc>
          <w:tcPr>
            <w:tcW w:w="10631" w:type="dxa"/>
            <w:shd w:val="clear" w:color="auto" w:fill="D9D9D9" w:themeFill="background1" w:themeFillShade="D9"/>
          </w:tcPr>
          <w:p w14:paraId="057BFFF6" w14:textId="77777777" w:rsidR="00ED3097" w:rsidRPr="005128CC" w:rsidRDefault="00ED3097" w:rsidP="006751BD">
            <w:pPr>
              <w:spacing w:before="40" w:after="40"/>
              <w:ind w:left="101" w:right="-239"/>
              <w:rPr>
                <w:rFonts w:ascii="Arial" w:hAnsi="Arial" w:cs="Arial"/>
                <w:sz w:val="20"/>
                <w:szCs w:val="20"/>
              </w:rPr>
            </w:pPr>
            <w:r w:rsidRPr="005128CC">
              <w:rPr>
                <w:rFonts w:ascii="Arial" w:hAnsi="Arial" w:cs="Arial"/>
                <w:noProof/>
                <w:color w:val="000000"/>
                <w:sz w:val="20"/>
                <w:szCs w:val="20"/>
              </w:rPr>
              <w:t>Monitor blood pressure; High risk of discontinuation reactions; cardiotoxic in overdose</w:t>
            </w:r>
          </w:p>
        </w:tc>
      </w:tr>
    </w:tbl>
    <w:p w14:paraId="763A327F" w14:textId="77777777" w:rsidR="00C03364" w:rsidRDefault="00C03364" w:rsidP="00E47A0B">
      <w:pPr>
        <w:pStyle w:val="ListParagraph"/>
        <w:spacing w:after="0" w:line="240" w:lineRule="auto"/>
        <w:ind w:left="0"/>
        <w:rPr>
          <w:rFonts w:ascii="Arial" w:hAnsi="Arial" w:cs="Arial"/>
          <w:b/>
          <w:color w:val="0070C0"/>
        </w:rPr>
      </w:pPr>
    </w:p>
    <w:p w14:paraId="31B0277A" w14:textId="77777777" w:rsidR="009A0E2B" w:rsidRDefault="009A0E2B" w:rsidP="00E47A0B">
      <w:pPr>
        <w:pStyle w:val="ListParagraph"/>
        <w:spacing w:after="0" w:line="240" w:lineRule="auto"/>
        <w:ind w:left="0"/>
        <w:rPr>
          <w:rFonts w:ascii="Arial" w:hAnsi="Arial" w:cs="Arial"/>
          <w:b/>
          <w:color w:val="0070C0"/>
        </w:rPr>
      </w:pPr>
    </w:p>
    <w:p w14:paraId="3A6313C7" w14:textId="433B5E72" w:rsidR="009A0E2B" w:rsidRDefault="009A0E2B" w:rsidP="006751BD">
      <w:pPr>
        <w:rPr>
          <w:rFonts w:ascii="Arial" w:hAnsi="Arial" w:cs="Arial"/>
          <w:b/>
          <w:color w:val="0070C0"/>
        </w:rPr>
      </w:pPr>
      <w:r>
        <w:rPr>
          <w:rFonts w:ascii="Arial" w:hAnsi="Arial" w:cs="Arial"/>
          <w:b/>
          <w:color w:val="0070C0"/>
        </w:rPr>
        <w:br w:type="page"/>
      </w:r>
      <w:r>
        <w:rPr>
          <w:rFonts w:ascii="Arial" w:hAnsi="Arial" w:cs="Arial"/>
          <w:b/>
          <w:color w:val="0070C0"/>
        </w:rPr>
        <w:lastRenderedPageBreak/>
        <w:t xml:space="preserve">Table 4: </w:t>
      </w:r>
      <w:r w:rsidR="003560E9">
        <w:rPr>
          <w:rFonts w:ascii="Arial" w:hAnsi="Arial" w:cs="Arial"/>
          <w:b/>
          <w:color w:val="0070C0"/>
        </w:rPr>
        <w:t>OBSESSIVE COMPULSIVE DISORDER (OCD)</w:t>
      </w:r>
    </w:p>
    <w:p w14:paraId="05FA95AF" w14:textId="77777777" w:rsidR="009A0E2B" w:rsidRDefault="003560E9" w:rsidP="00AD3E1D">
      <w:pPr>
        <w:pStyle w:val="ListParagraph"/>
        <w:spacing w:before="120" w:after="120" w:line="240" w:lineRule="auto"/>
        <w:ind w:left="0"/>
        <w:contextualSpacing w:val="0"/>
        <w:rPr>
          <w:rFonts w:ascii="Arial" w:hAnsi="Arial" w:cs="Arial"/>
          <w:b/>
          <w:color w:val="0070C0"/>
        </w:rPr>
      </w:pPr>
      <w:r>
        <w:rPr>
          <w:rFonts w:ascii="Arial" w:hAnsi="Arial" w:cs="Arial"/>
          <w:b/>
          <w:color w:val="0070C0"/>
        </w:rPr>
        <w:t xml:space="preserve">4a: </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3560E9" w:rsidRPr="00AD3E1D" w14:paraId="195A7032" w14:textId="77777777" w:rsidTr="003560E9">
        <w:tc>
          <w:tcPr>
            <w:tcW w:w="2835" w:type="dxa"/>
            <w:shd w:val="clear" w:color="auto" w:fill="7F7F7F" w:themeFill="text1" w:themeFillTint="80"/>
          </w:tcPr>
          <w:p w14:paraId="1BEA3CDB"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FFFFFF"/>
                <w:sz w:val="20"/>
                <w:szCs w:val="20"/>
              </w:rPr>
              <w:t>First</w:t>
            </w:r>
            <w:r w:rsidRPr="00AD3E1D">
              <w:rPr>
                <w:rFonts w:ascii="Arial" w:hAnsi="Arial" w:cs="Arial"/>
                <w:b/>
                <w:noProof/>
                <w:color w:val="000000"/>
                <w:sz w:val="20"/>
                <w:szCs w:val="20"/>
              </w:rPr>
              <w:t> </w:t>
            </w:r>
            <w:r w:rsidRPr="00AD3E1D">
              <w:rPr>
                <w:rFonts w:ascii="Arial" w:hAnsi="Arial" w:cs="Arial"/>
                <w:b/>
                <w:noProof/>
                <w:color w:val="FFFFFF"/>
                <w:sz w:val="20"/>
                <w:szCs w:val="20"/>
              </w:rPr>
              <w:t>Line:</w:t>
            </w:r>
          </w:p>
        </w:tc>
        <w:tc>
          <w:tcPr>
            <w:tcW w:w="1560" w:type="dxa"/>
            <w:shd w:val="clear" w:color="auto" w:fill="7F7F7F" w:themeFill="text1" w:themeFillTint="80"/>
          </w:tcPr>
          <w:p w14:paraId="042D523D"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59B895DF"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b/>
                <w:noProof/>
                <w:color w:val="FFFFFF"/>
                <w:sz w:val="20"/>
                <w:szCs w:val="20"/>
              </w:rPr>
              <w:t>Notes</w:t>
            </w:r>
          </w:p>
        </w:tc>
      </w:tr>
      <w:tr w:rsidR="003560E9" w:rsidRPr="00AD3E1D" w14:paraId="68C78A0C" w14:textId="77777777" w:rsidTr="003560E9">
        <w:tc>
          <w:tcPr>
            <w:tcW w:w="2835" w:type="dxa"/>
            <w:tcBorders>
              <w:bottom w:val="single" w:sz="4" w:space="0" w:color="FFFFFF" w:themeColor="background1"/>
            </w:tcBorders>
            <w:shd w:val="clear" w:color="auto" w:fill="D9D9D9" w:themeFill="background1" w:themeFillShade="D9"/>
          </w:tcPr>
          <w:p w14:paraId="3D8EDC05"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000000"/>
                <w:sz w:val="20"/>
                <w:szCs w:val="20"/>
              </w:rPr>
              <w:t>SSRI’s</w:t>
            </w:r>
          </w:p>
          <w:p w14:paraId="2C9B8BF3"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noProof/>
                <w:color w:val="000000"/>
                <w:sz w:val="20"/>
                <w:szCs w:val="20"/>
              </w:rPr>
              <w:t xml:space="preserve">  Citalopram</w:t>
            </w:r>
          </w:p>
          <w:p w14:paraId="6654C4D6"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noProof/>
                <w:color w:val="000000"/>
                <w:sz w:val="20"/>
                <w:szCs w:val="20"/>
              </w:rPr>
              <w:t xml:space="preserve">  Fluoxetine</w:t>
            </w:r>
          </w:p>
          <w:p w14:paraId="5D104498"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noProof/>
                <w:color w:val="000000"/>
                <w:sz w:val="20"/>
                <w:szCs w:val="20"/>
              </w:rPr>
              <w:t xml:space="preserve">  Paroxetine</w:t>
            </w:r>
          </w:p>
          <w:p w14:paraId="542468EA"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noProof/>
                <w:color w:val="000000"/>
                <w:sz w:val="20"/>
                <w:szCs w:val="20"/>
              </w:rPr>
              <w:t xml:space="preserve">  Sertraline</w:t>
            </w:r>
          </w:p>
        </w:tc>
        <w:tc>
          <w:tcPr>
            <w:tcW w:w="1560" w:type="dxa"/>
            <w:tcBorders>
              <w:bottom w:val="single" w:sz="4" w:space="0" w:color="FFFFFF" w:themeColor="background1"/>
            </w:tcBorders>
            <w:shd w:val="clear" w:color="auto" w:fill="D9D9D9" w:themeFill="background1" w:themeFillShade="D9"/>
          </w:tcPr>
          <w:p w14:paraId="13D9AFDA" w14:textId="77777777" w:rsidR="003560E9" w:rsidRPr="00AD3E1D" w:rsidRDefault="003560E9" w:rsidP="006751BD">
            <w:pPr>
              <w:spacing w:before="40" w:after="40"/>
              <w:ind w:left="104"/>
              <w:rPr>
                <w:rFonts w:ascii="Arial" w:hAnsi="Arial" w:cs="Arial"/>
                <w:sz w:val="20"/>
                <w:szCs w:val="20"/>
              </w:rPr>
            </w:pPr>
          </w:p>
          <w:p w14:paraId="213C05AE"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p w14:paraId="16B2A2A1"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p w14:paraId="5E15B9BA"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p w14:paraId="0282FA1A"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75C16FA3"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If CBT is not accessible or available, offer drug treatment</w:t>
            </w:r>
          </w:p>
          <w:p w14:paraId="18E4C944"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Also offer CBT if medication not preferred and service users able to engage with CBT</w:t>
            </w:r>
          </w:p>
          <w:p w14:paraId="1C09E24A"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Paroxetine can cause more weight gain and anticholinergic side effects than are other SSRIs and</w:t>
            </w:r>
          </w:p>
          <w:p w14:paraId="423AE748"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greater risk of withdrawal symptoms.  Fluoxetine has a long half life. Citalopram causes dose dependant QT interval prolongation.</w:t>
            </w:r>
          </w:p>
        </w:tc>
      </w:tr>
      <w:tr w:rsidR="003560E9" w:rsidRPr="00AD3E1D" w14:paraId="07B11F88" w14:textId="77777777" w:rsidTr="003560E9">
        <w:tc>
          <w:tcPr>
            <w:tcW w:w="2835" w:type="dxa"/>
            <w:shd w:val="clear" w:color="auto" w:fill="7F7F7F" w:themeFill="text1" w:themeFillTint="80"/>
          </w:tcPr>
          <w:p w14:paraId="4A07E6D8"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FFFFFF"/>
                <w:sz w:val="20"/>
                <w:szCs w:val="20"/>
              </w:rPr>
              <w:t>Second</w:t>
            </w:r>
            <w:r w:rsidRPr="00AD3E1D">
              <w:rPr>
                <w:rFonts w:ascii="Arial" w:hAnsi="Arial" w:cs="Arial"/>
                <w:b/>
                <w:noProof/>
                <w:color w:val="000000"/>
                <w:sz w:val="20"/>
                <w:szCs w:val="20"/>
              </w:rPr>
              <w:t> </w:t>
            </w:r>
            <w:r w:rsidRPr="00AD3E1D">
              <w:rPr>
                <w:rFonts w:ascii="Arial" w:hAnsi="Arial" w:cs="Arial"/>
                <w:b/>
                <w:noProof/>
                <w:color w:val="FFFFFF"/>
                <w:sz w:val="20"/>
                <w:szCs w:val="20"/>
              </w:rPr>
              <w:t>Line:</w:t>
            </w:r>
          </w:p>
        </w:tc>
        <w:tc>
          <w:tcPr>
            <w:tcW w:w="1560" w:type="dxa"/>
            <w:shd w:val="clear" w:color="auto" w:fill="7F7F7F" w:themeFill="text1" w:themeFillTint="80"/>
          </w:tcPr>
          <w:p w14:paraId="2C2FC94E"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404A9133"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b/>
                <w:noProof/>
                <w:color w:val="FFFFFF"/>
                <w:sz w:val="20"/>
                <w:szCs w:val="20"/>
              </w:rPr>
              <w:t>Notes</w:t>
            </w:r>
          </w:p>
        </w:tc>
      </w:tr>
      <w:tr w:rsidR="003560E9" w:rsidRPr="00AD3E1D" w14:paraId="03E69C25" w14:textId="77777777" w:rsidTr="003560E9">
        <w:tc>
          <w:tcPr>
            <w:tcW w:w="2835" w:type="dxa"/>
            <w:shd w:val="clear" w:color="auto" w:fill="D9D9D9" w:themeFill="background1" w:themeFillShade="D9"/>
          </w:tcPr>
          <w:p w14:paraId="31135B41"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000000"/>
                <w:sz w:val="20"/>
                <w:szCs w:val="20"/>
              </w:rPr>
              <w:t>Alternative SSRI</w:t>
            </w:r>
          </w:p>
        </w:tc>
        <w:tc>
          <w:tcPr>
            <w:tcW w:w="1560" w:type="dxa"/>
            <w:shd w:val="clear" w:color="auto" w:fill="D9D9D9" w:themeFill="background1" w:themeFillShade="D9"/>
          </w:tcPr>
          <w:p w14:paraId="4EA0A4F4"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 - £££</w:t>
            </w:r>
          </w:p>
        </w:tc>
        <w:tc>
          <w:tcPr>
            <w:tcW w:w="10631" w:type="dxa"/>
            <w:shd w:val="clear" w:color="auto" w:fill="D9D9D9" w:themeFill="background1" w:themeFillShade="D9"/>
          </w:tcPr>
          <w:p w14:paraId="03E50467"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Offer SSRI not tried first line (escitalopram costs greater than for generic SSRIs)</w:t>
            </w:r>
          </w:p>
        </w:tc>
      </w:tr>
      <w:tr w:rsidR="003560E9" w:rsidRPr="00AD3E1D" w14:paraId="2D66867C" w14:textId="77777777" w:rsidTr="003560E9">
        <w:tc>
          <w:tcPr>
            <w:tcW w:w="2835" w:type="dxa"/>
            <w:shd w:val="clear" w:color="auto" w:fill="D9D9D9" w:themeFill="background1" w:themeFillShade="D9"/>
          </w:tcPr>
          <w:p w14:paraId="4100D7D0"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000000"/>
                <w:sz w:val="20"/>
                <w:szCs w:val="20"/>
              </w:rPr>
              <w:t>Clomipramine</w:t>
            </w:r>
          </w:p>
        </w:tc>
        <w:tc>
          <w:tcPr>
            <w:tcW w:w="1560" w:type="dxa"/>
            <w:shd w:val="clear" w:color="auto" w:fill="D9D9D9" w:themeFill="background1" w:themeFillShade="D9"/>
          </w:tcPr>
          <w:p w14:paraId="58640C05"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112E0445"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Consider clomipramine when SSRI ineffective or poorly tolerated or when it is the preferred option or where previous good response has been shown. Clomipramine is more likely to induce anticholinergic effects and can cause hypotension and postural dizziness. It can increase levels of liver transaminases and has a potential for seizures and cardiac arrhythmias, particularly at higher doses Consider ECG and blood pressure monitoring in cardiovascular disease</w:t>
            </w:r>
          </w:p>
        </w:tc>
      </w:tr>
      <w:tr w:rsidR="003560E9" w:rsidRPr="00AD3E1D" w14:paraId="4B64B871" w14:textId="77777777" w:rsidTr="003560E9">
        <w:tc>
          <w:tcPr>
            <w:tcW w:w="2835" w:type="dxa"/>
            <w:shd w:val="clear" w:color="auto" w:fill="D9D9D9" w:themeFill="background1" w:themeFillShade="D9"/>
          </w:tcPr>
          <w:p w14:paraId="51421E75" w14:textId="77777777" w:rsidR="003560E9" w:rsidRPr="00AD3E1D" w:rsidRDefault="003560E9" w:rsidP="006751BD">
            <w:pPr>
              <w:spacing w:before="40" w:after="40"/>
              <w:ind w:left="102"/>
              <w:rPr>
                <w:rFonts w:ascii="Arial" w:hAnsi="Arial" w:cs="Arial"/>
                <w:sz w:val="20"/>
                <w:szCs w:val="20"/>
              </w:rPr>
            </w:pPr>
            <w:r w:rsidRPr="00AD3E1D">
              <w:rPr>
                <w:rFonts w:ascii="Arial" w:hAnsi="Arial" w:cs="Arial"/>
                <w:b/>
                <w:noProof/>
                <w:color w:val="000000"/>
                <w:sz w:val="20"/>
                <w:szCs w:val="20"/>
              </w:rPr>
              <w:t>Imipramine</w:t>
            </w:r>
          </w:p>
        </w:tc>
        <w:tc>
          <w:tcPr>
            <w:tcW w:w="1560" w:type="dxa"/>
            <w:shd w:val="clear" w:color="auto" w:fill="D9D9D9" w:themeFill="background1" w:themeFillShade="D9"/>
          </w:tcPr>
          <w:p w14:paraId="70975F6B" w14:textId="77777777" w:rsidR="003560E9" w:rsidRPr="00AD3E1D" w:rsidRDefault="003560E9" w:rsidP="006751BD">
            <w:pPr>
              <w:spacing w:before="40" w:after="40"/>
              <w:ind w:left="104"/>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7A3481CE" w14:textId="77777777" w:rsidR="003560E9" w:rsidRPr="00AD3E1D" w:rsidRDefault="003560E9" w:rsidP="006751BD">
            <w:pPr>
              <w:spacing w:before="40" w:after="40"/>
              <w:ind w:left="101"/>
              <w:rPr>
                <w:rFonts w:ascii="Arial" w:hAnsi="Arial" w:cs="Arial"/>
                <w:sz w:val="20"/>
                <w:szCs w:val="20"/>
              </w:rPr>
            </w:pPr>
            <w:r w:rsidRPr="00AD3E1D">
              <w:rPr>
                <w:rFonts w:ascii="Arial" w:hAnsi="Arial" w:cs="Arial"/>
                <w:noProof/>
                <w:color w:val="000000"/>
                <w:sz w:val="20"/>
                <w:szCs w:val="20"/>
              </w:rPr>
              <w:t>Recommended as an option by the British Association of Psychopharmacology but not by NICE</w:t>
            </w:r>
          </w:p>
        </w:tc>
      </w:tr>
    </w:tbl>
    <w:p w14:paraId="370497D8" w14:textId="77777777" w:rsidR="009A0E2B" w:rsidRPr="003560E9" w:rsidRDefault="003560E9" w:rsidP="00AD3E1D">
      <w:pPr>
        <w:pStyle w:val="ListParagraph"/>
        <w:spacing w:before="120" w:after="120" w:line="240" w:lineRule="auto"/>
        <w:ind w:left="0"/>
        <w:contextualSpacing w:val="0"/>
        <w:rPr>
          <w:rFonts w:ascii="Arial" w:hAnsi="Arial" w:cs="Arial"/>
          <w:b/>
          <w:color w:val="0070C0"/>
        </w:rPr>
      </w:pPr>
      <w:r w:rsidRPr="003560E9">
        <w:rPr>
          <w:rFonts w:ascii="Arial" w:hAnsi="Arial" w:cs="Arial"/>
          <w:b/>
          <w:color w:val="0070C0"/>
        </w:rPr>
        <w:t>4b: TREATMENT RESISTANT OBSESSIVE COMPULSIVE DISORDER</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3560E9" w:rsidRPr="00AD3E1D" w14:paraId="33A392AE" w14:textId="77777777" w:rsidTr="003560E9">
        <w:tc>
          <w:tcPr>
            <w:tcW w:w="2835" w:type="dxa"/>
            <w:shd w:val="clear" w:color="auto" w:fill="7F7F7F" w:themeFill="text1" w:themeFillTint="80"/>
          </w:tcPr>
          <w:p w14:paraId="70A38717"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b/>
                <w:noProof/>
                <w:color w:val="FFFFFF"/>
                <w:sz w:val="20"/>
                <w:szCs w:val="20"/>
              </w:rPr>
              <w:t>Third</w:t>
            </w:r>
            <w:r w:rsidRPr="00AD3E1D">
              <w:rPr>
                <w:rFonts w:ascii="Arial" w:hAnsi="Arial" w:cs="Arial"/>
                <w:b/>
                <w:noProof/>
                <w:color w:val="000000"/>
                <w:sz w:val="20"/>
                <w:szCs w:val="20"/>
              </w:rPr>
              <w:t> </w:t>
            </w:r>
            <w:r w:rsidRPr="00AD3E1D">
              <w:rPr>
                <w:rFonts w:ascii="Arial" w:hAnsi="Arial" w:cs="Arial"/>
                <w:b/>
                <w:noProof/>
                <w:color w:val="FFFFFF"/>
                <w:sz w:val="20"/>
                <w:szCs w:val="20"/>
              </w:rPr>
              <w:t>Line:</w:t>
            </w:r>
          </w:p>
        </w:tc>
        <w:tc>
          <w:tcPr>
            <w:tcW w:w="1560" w:type="dxa"/>
            <w:shd w:val="clear" w:color="auto" w:fill="7F7F7F" w:themeFill="text1" w:themeFillTint="80"/>
          </w:tcPr>
          <w:p w14:paraId="4C8281E7"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45BE6132"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b/>
                <w:noProof/>
                <w:color w:val="FFFFFF"/>
                <w:sz w:val="20"/>
                <w:szCs w:val="20"/>
              </w:rPr>
              <w:t>Notes – Secondary care initiation and stabilisation</w:t>
            </w:r>
          </w:p>
        </w:tc>
      </w:tr>
      <w:tr w:rsidR="003560E9" w:rsidRPr="00AD3E1D" w14:paraId="273D1514" w14:textId="77777777" w:rsidTr="003560E9">
        <w:tc>
          <w:tcPr>
            <w:tcW w:w="2835" w:type="dxa"/>
            <w:shd w:val="clear" w:color="auto" w:fill="D9D9D9" w:themeFill="background1" w:themeFillShade="D9"/>
          </w:tcPr>
          <w:p w14:paraId="253EFD0C"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MAOIs</w:t>
            </w:r>
          </w:p>
          <w:p w14:paraId="7C7E750C"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Phenelzine</w:t>
            </w:r>
          </w:p>
        </w:tc>
        <w:tc>
          <w:tcPr>
            <w:tcW w:w="1560" w:type="dxa"/>
            <w:shd w:val="clear" w:color="auto" w:fill="D9D9D9" w:themeFill="background1" w:themeFillShade="D9"/>
          </w:tcPr>
          <w:p w14:paraId="1A5D3656" w14:textId="77777777" w:rsidR="003560E9" w:rsidRPr="00AD3E1D" w:rsidRDefault="003560E9" w:rsidP="00AD3E1D">
            <w:pPr>
              <w:spacing w:before="40" w:after="40"/>
              <w:ind w:left="104"/>
              <w:rPr>
                <w:rFonts w:ascii="Arial" w:hAnsi="Arial" w:cs="Arial"/>
                <w:sz w:val="20"/>
                <w:szCs w:val="20"/>
              </w:rPr>
            </w:pPr>
          </w:p>
          <w:p w14:paraId="04FA4727"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tc>
        <w:tc>
          <w:tcPr>
            <w:tcW w:w="10631" w:type="dxa"/>
            <w:shd w:val="clear" w:color="auto" w:fill="D9D9D9" w:themeFill="background1" w:themeFillShade="D9"/>
          </w:tcPr>
          <w:p w14:paraId="108868B4"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Consider MAOIs in severe OCD where all first-line treatments and most second-line treatments</w:t>
            </w:r>
          </w:p>
          <w:p w14:paraId="5C258A72"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have failed.</w:t>
            </w:r>
          </w:p>
        </w:tc>
      </w:tr>
      <w:tr w:rsidR="003560E9" w:rsidRPr="00AD3E1D" w14:paraId="7783A42D" w14:textId="77777777" w:rsidTr="003560E9">
        <w:tc>
          <w:tcPr>
            <w:tcW w:w="2835" w:type="dxa"/>
            <w:shd w:val="clear" w:color="auto" w:fill="D9D9D9" w:themeFill="background1" w:themeFillShade="D9"/>
          </w:tcPr>
          <w:p w14:paraId="6D5E55B0"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Combinations e.g.</w:t>
            </w:r>
          </w:p>
          <w:p w14:paraId="570A2E55"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SSRI + clomipramine</w:t>
            </w:r>
          </w:p>
          <w:p w14:paraId="3CA05436"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SSRI + mirtazapine</w:t>
            </w:r>
          </w:p>
        </w:tc>
        <w:tc>
          <w:tcPr>
            <w:tcW w:w="1560" w:type="dxa"/>
            <w:shd w:val="clear" w:color="auto" w:fill="D9D9D9" w:themeFill="background1" w:themeFillShade="D9"/>
          </w:tcPr>
          <w:p w14:paraId="6DCB7395" w14:textId="77777777" w:rsidR="003560E9" w:rsidRPr="00AD3E1D" w:rsidRDefault="003560E9" w:rsidP="00AD3E1D">
            <w:pPr>
              <w:spacing w:before="40" w:after="40"/>
              <w:ind w:left="104"/>
              <w:rPr>
                <w:rFonts w:ascii="Arial" w:hAnsi="Arial" w:cs="Arial"/>
                <w:sz w:val="20"/>
                <w:szCs w:val="20"/>
              </w:rPr>
            </w:pPr>
          </w:p>
          <w:p w14:paraId="311DFE69"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p w14:paraId="66B5CF8B"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tc>
        <w:tc>
          <w:tcPr>
            <w:tcW w:w="10631" w:type="dxa"/>
            <w:shd w:val="clear" w:color="auto" w:fill="D9D9D9" w:themeFill="background1" w:themeFillShade="D9"/>
          </w:tcPr>
          <w:p w14:paraId="67E7F9AF" w14:textId="77777777" w:rsidR="003560E9" w:rsidRPr="00AD3E1D" w:rsidRDefault="003560E9" w:rsidP="00AD3E1D">
            <w:pPr>
              <w:spacing w:before="40" w:after="40"/>
              <w:ind w:left="101"/>
              <w:rPr>
                <w:rFonts w:ascii="Arial" w:hAnsi="Arial" w:cs="Arial"/>
                <w:sz w:val="20"/>
                <w:szCs w:val="20"/>
              </w:rPr>
            </w:pPr>
          </w:p>
          <w:p w14:paraId="4962A7E2"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Consultant initiation only Monitor carefully – risk of additive side effects and toxicity;</w:t>
            </w:r>
          </w:p>
          <w:p w14:paraId="4624043B" w14:textId="77777777" w:rsidR="003560E9" w:rsidRDefault="003560E9" w:rsidP="00AD3E1D">
            <w:pPr>
              <w:spacing w:before="40" w:after="40"/>
              <w:ind w:left="101"/>
              <w:rPr>
                <w:rFonts w:ascii="Arial" w:hAnsi="Arial" w:cs="Arial"/>
                <w:noProof/>
                <w:color w:val="000000"/>
                <w:sz w:val="20"/>
                <w:szCs w:val="20"/>
              </w:rPr>
            </w:pPr>
            <w:r w:rsidRPr="00AD3E1D">
              <w:rPr>
                <w:rFonts w:ascii="Arial" w:hAnsi="Arial" w:cs="Arial"/>
                <w:noProof/>
                <w:color w:val="000000"/>
                <w:sz w:val="20"/>
                <w:szCs w:val="20"/>
              </w:rPr>
              <w:t>Off-label use- mirtazapine can also be considered</w:t>
            </w:r>
          </w:p>
          <w:p w14:paraId="68CF65DC" w14:textId="2C317920" w:rsidR="00B47754" w:rsidRPr="00AD3E1D" w:rsidRDefault="00B47754" w:rsidP="00AD3E1D">
            <w:pPr>
              <w:spacing w:before="40" w:after="40"/>
              <w:ind w:left="101"/>
              <w:rPr>
                <w:rFonts w:ascii="Arial" w:hAnsi="Arial" w:cs="Arial"/>
                <w:sz w:val="20"/>
                <w:szCs w:val="20"/>
              </w:rPr>
            </w:pPr>
            <w:r>
              <w:rPr>
                <w:rFonts w:ascii="Arial" w:hAnsi="Arial" w:cs="Arial"/>
                <w:noProof/>
                <w:color w:val="000000"/>
                <w:sz w:val="20"/>
                <w:szCs w:val="20"/>
              </w:rPr>
              <w:t>Increased risk of serotonin syndrome</w:t>
            </w:r>
          </w:p>
        </w:tc>
      </w:tr>
      <w:tr w:rsidR="003560E9" w:rsidRPr="00AD3E1D" w14:paraId="677CEA56" w14:textId="77777777" w:rsidTr="003560E9">
        <w:tc>
          <w:tcPr>
            <w:tcW w:w="2835" w:type="dxa"/>
            <w:shd w:val="clear" w:color="auto" w:fill="D9D9D9" w:themeFill="background1" w:themeFillShade="D9"/>
          </w:tcPr>
          <w:p w14:paraId="103E4AD6"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Augmentation e.g.</w:t>
            </w:r>
          </w:p>
          <w:p w14:paraId="40C9AA37"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SSRI + antipsychotic</w:t>
            </w:r>
          </w:p>
          <w:p w14:paraId="1393DBD8"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SSRI + trazodone</w:t>
            </w:r>
          </w:p>
        </w:tc>
        <w:tc>
          <w:tcPr>
            <w:tcW w:w="1560" w:type="dxa"/>
            <w:shd w:val="clear" w:color="auto" w:fill="D9D9D9" w:themeFill="background1" w:themeFillShade="D9"/>
          </w:tcPr>
          <w:p w14:paraId="2A65BB79" w14:textId="77777777" w:rsidR="003560E9" w:rsidRPr="00AD3E1D" w:rsidRDefault="003560E9" w:rsidP="00AD3E1D">
            <w:pPr>
              <w:spacing w:before="40" w:after="40"/>
              <w:ind w:left="104"/>
              <w:rPr>
                <w:rFonts w:ascii="Arial" w:hAnsi="Arial" w:cs="Arial"/>
                <w:sz w:val="20"/>
                <w:szCs w:val="20"/>
              </w:rPr>
            </w:pPr>
          </w:p>
          <w:p w14:paraId="1BD5C7CF"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p w14:paraId="735F022C"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tc>
        <w:tc>
          <w:tcPr>
            <w:tcW w:w="10631" w:type="dxa"/>
            <w:shd w:val="clear" w:color="auto" w:fill="D9D9D9" w:themeFill="background1" w:themeFillShade="D9"/>
          </w:tcPr>
          <w:p w14:paraId="1EE3581C"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Antipsychotics (risperidone, quetiapine, haloperidol) can be considered as augmentation strategy</w:t>
            </w:r>
          </w:p>
          <w:p w14:paraId="12B7E30C"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where response to SSRI treatment is poor or incomplete</w:t>
            </w:r>
          </w:p>
          <w:p w14:paraId="338DF1AB"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May be helpful in alleviating OCD and anxiety as well as sleep disturbances</w:t>
            </w:r>
          </w:p>
        </w:tc>
      </w:tr>
      <w:tr w:rsidR="003560E9" w:rsidRPr="00AD3E1D" w14:paraId="4BF3A0F6" w14:textId="77777777" w:rsidTr="003560E9">
        <w:tc>
          <w:tcPr>
            <w:tcW w:w="2835" w:type="dxa"/>
            <w:shd w:val="clear" w:color="auto" w:fill="D9D9D9" w:themeFill="background1" w:themeFillShade="D9"/>
          </w:tcPr>
          <w:p w14:paraId="3E36CE71"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Benzodiazepines e.g.</w:t>
            </w:r>
          </w:p>
          <w:p w14:paraId="579A9FCA" w14:textId="77777777" w:rsidR="003560E9" w:rsidRPr="00AD3E1D" w:rsidRDefault="003560E9" w:rsidP="00AD3E1D">
            <w:pPr>
              <w:spacing w:before="40" w:after="40"/>
              <w:ind w:left="102"/>
              <w:rPr>
                <w:rFonts w:ascii="Arial" w:hAnsi="Arial" w:cs="Arial"/>
                <w:sz w:val="20"/>
                <w:szCs w:val="20"/>
              </w:rPr>
            </w:pPr>
            <w:r w:rsidRPr="00AD3E1D">
              <w:rPr>
                <w:rFonts w:ascii="Arial" w:hAnsi="Arial" w:cs="Arial"/>
                <w:noProof/>
                <w:color w:val="000000"/>
                <w:sz w:val="20"/>
                <w:szCs w:val="20"/>
              </w:rPr>
              <w:t xml:space="preserve">  clonazepam; diazepam</w:t>
            </w:r>
          </w:p>
        </w:tc>
        <w:tc>
          <w:tcPr>
            <w:tcW w:w="1560" w:type="dxa"/>
            <w:shd w:val="clear" w:color="auto" w:fill="D9D9D9" w:themeFill="background1" w:themeFillShade="D9"/>
          </w:tcPr>
          <w:p w14:paraId="61F0E0F2" w14:textId="77777777" w:rsidR="003560E9" w:rsidRPr="00AD3E1D" w:rsidRDefault="003560E9" w:rsidP="00AD3E1D">
            <w:pPr>
              <w:spacing w:before="40" w:after="40"/>
              <w:ind w:left="104"/>
              <w:rPr>
                <w:rFonts w:ascii="Arial" w:hAnsi="Arial" w:cs="Arial"/>
                <w:sz w:val="20"/>
                <w:szCs w:val="20"/>
              </w:rPr>
            </w:pPr>
          </w:p>
          <w:p w14:paraId="70F29893" w14:textId="77777777" w:rsidR="003560E9" w:rsidRPr="00AD3E1D" w:rsidRDefault="003560E9" w:rsidP="00AD3E1D">
            <w:pPr>
              <w:spacing w:before="40" w:after="40"/>
              <w:ind w:left="104"/>
              <w:rPr>
                <w:rFonts w:ascii="Arial" w:hAnsi="Arial" w:cs="Arial"/>
                <w:sz w:val="20"/>
                <w:szCs w:val="20"/>
              </w:rPr>
            </w:pPr>
            <w:r w:rsidRPr="00AD3E1D">
              <w:rPr>
                <w:rFonts w:ascii="Arial" w:hAnsi="Arial" w:cs="Arial"/>
                <w:noProof/>
                <w:color w:val="000000"/>
                <w:sz w:val="20"/>
                <w:szCs w:val="20"/>
              </w:rPr>
              <w:t>£</w:t>
            </w:r>
          </w:p>
        </w:tc>
        <w:tc>
          <w:tcPr>
            <w:tcW w:w="10631" w:type="dxa"/>
            <w:shd w:val="clear" w:color="auto" w:fill="D9D9D9" w:themeFill="background1" w:themeFillShade="D9"/>
          </w:tcPr>
          <w:p w14:paraId="25D4387D"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Benzodiazepines are not routinely recommended due to limited evidence for efficacy. Only</w:t>
            </w:r>
          </w:p>
          <w:p w14:paraId="5987DB44" w14:textId="77777777" w:rsidR="003560E9" w:rsidRPr="00AD3E1D" w:rsidRDefault="003560E9" w:rsidP="00AD3E1D">
            <w:pPr>
              <w:spacing w:before="40" w:after="40"/>
              <w:ind w:left="101"/>
              <w:rPr>
                <w:rFonts w:ascii="Arial" w:hAnsi="Arial" w:cs="Arial"/>
                <w:sz w:val="20"/>
                <w:szCs w:val="20"/>
              </w:rPr>
            </w:pPr>
            <w:r w:rsidRPr="00AD3E1D">
              <w:rPr>
                <w:rFonts w:ascii="Arial" w:hAnsi="Arial" w:cs="Arial"/>
                <w:noProof/>
                <w:color w:val="000000"/>
                <w:sz w:val="20"/>
                <w:szCs w:val="20"/>
              </w:rPr>
              <w:t>consider for short periods for severe anxiety</w:t>
            </w:r>
          </w:p>
        </w:tc>
      </w:tr>
    </w:tbl>
    <w:p w14:paraId="5C72CE5D" w14:textId="77777777" w:rsidR="009A0E2B" w:rsidRDefault="009A0E2B" w:rsidP="00E47A0B">
      <w:pPr>
        <w:pStyle w:val="ListParagraph"/>
        <w:spacing w:after="0" w:line="240" w:lineRule="auto"/>
        <w:ind w:left="0"/>
        <w:rPr>
          <w:rFonts w:ascii="Arial" w:hAnsi="Arial" w:cs="Arial"/>
          <w:color w:val="0070C0"/>
        </w:rPr>
      </w:pPr>
    </w:p>
    <w:p w14:paraId="3B63AD30" w14:textId="77777777" w:rsidR="009A0E2B" w:rsidRDefault="009A0E2B">
      <w:pPr>
        <w:rPr>
          <w:rFonts w:ascii="Arial" w:hAnsi="Arial" w:cs="Arial"/>
          <w:color w:val="0070C0"/>
        </w:rPr>
      </w:pPr>
      <w:r>
        <w:rPr>
          <w:rFonts w:ascii="Arial" w:hAnsi="Arial" w:cs="Arial"/>
          <w:color w:val="0070C0"/>
        </w:rPr>
        <w:br w:type="page"/>
      </w:r>
    </w:p>
    <w:p w14:paraId="79F7D763" w14:textId="77777777" w:rsidR="009A0E2B" w:rsidRPr="00D91B48" w:rsidRDefault="009A0E2B" w:rsidP="00AD3E1D">
      <w:pPr>
        <w:pStyle w:val="ListParagraph"/>
        <w:spacing w:before="120" w:after="120" w:line="240" w:lineRule="auto"/>
        <w:ind w:left="0"/>
        <w:rPr>
          <w:rFonts w:ascii="Arial" w:hAnsi="Arial" w:cs="Arial"/>
          <w:b/>
          <w:color w:val="0070C0"/>
        </w:rPr>
      </w:pPr>
      <w:r w:rsidRPr="00D91B48">
        <w:rPr>
          <w:rFonts w:ascii="Arial" w:hAnsi="Arial" w:cs="Arial"/>
          <w:b/>
          <w:color w:val="0070C0"/>
        </w:rPr>
        <w:lastRenderedPageBreak/>
        <w:t xml:space="preserve">Table 5: </w:t>
      </w:r>
      <w:r w:rsidR="008F0170">
        <w:rPr>
          <w:rFonts w:ascii="Arial" w:hAnsi="Arial" w:cs="Arial"/>
          <w:b/>
          <w:color w:val="0070C0"/>
        </w:rPr>
        <w:t>POST TRAUMATIC STRESS DISORDER</w:t>
      </w:r>
    </w:p>
    <w:tbl>
      <w:tblPr>
        <w:tblStyle w:val="TableGrid"/>
        <w:tblW w:w="0" w:type="auto"/>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835"/>
        <w:gridCol w:w="1588"/>
        <w:gridCol w:w="10631"/>
      </w:tblGrid>
      <w:tr w:rsidR="008F0170" w:rsidRPr="00AD3E1D" w14:paraId="64A41B3B" w14:textId="77777777" w:rsidTr="008F0170">
        <w:tc>
          <w:tcPr>
            <w:tcW w:w="2835" w:type="dxa"/>
            <w:shd w:val="clear" w:color="auto" w:fill="7F7F7F" w:themeFill="text1" w:themeFillTint="80"/>
          </w:tcPr>
          <w:p w14:paraId="39A90E94"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FFFFFF"/>
                <w:sz w:val="20"/>
                <w:szCs w:val="20"/>
              </w:rPr>
              <w:t>First</w:t>
            </w:r>
            <w:r w:rsidRPr="00AD3E1D">
              <w:rPr>
                <w:rFonts w:ascii="Arial" w:hAnsi="Arial" w:cs="Arial"/>
                <w:b/>
                <w:noProof/>
                <w:color w:val="000000"/>
                <w:sz w:val="20"/>
                <w:szCs w:val="20"/>
              </w:rPr>
              <w:t> </w:t>
            </w:r>
            <w:r w:rsidRPr="00AD3E1D">
              <w:rPr>
                <w:rFonts w:ascii="Arial" w:hAnsi="Arial" w:cs="Arial"/>
                <w:b/>
                <w:noProof/>
                <w:color w:val="FFFFFF"/>
                <w:sz w:val="20"/>
                <w:szCs w:val="20"/>
              </w:rPr>
              <w:t>Line:</w:t>
            </w:r>
          </w:p>
        </w:tc>
        <w:tc>
          <w:tcPr>
            <w:tcW w:w="1560" w:type="dxa"/>
            <w:shd w:val="clear" w:color="auto" w:fill="7F7F7F" w:themeFill="text1" w:themeFillTint="80"/>
          </w:tcPr>
          <w:p w14:paraId="25A105DB"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2D6A5DFA"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b/>
                <w:noProof/>
                <w:color w:val="FFFFFF"/>
                <w:sz w:val="20"/>
                <w:szCs w:val="20"/>
              </w:rPr>
              <w:t>Notes</w:t>
            </w:r>
          </w:p>
        </w:tc>
      </w:tr>
      <w:tr w:rsidR="008F0170" w:rsidRPr="00AD3E1D" w14:paraId="25F04970" w14:textId="77777777" w:rsidTr="008F0170">
        <w:tc>
          <w:tcPr>
            <w:tcW w:w="2835" w:type="dxa"/>
            <w:shd w:val="clear" w:color="auto" w:fill="D9D9D9" w:themeFill="background1" w:themeFillShade="D9"/>
          </w:tcPr>
          <w:p w14:paraId="06B5975B"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000000"/>
                <w:sz w:val="20"/>
                <w:szCs w:val="20"/>
              </w:rPr>
              <w:t>SSRI</w:t>
            </w:r>
            <w:r w:rsidRPr="00AD3E1D">
              <w:rPr>
                <w:rFonts w:ascii="Arial" w:hAnsi="Arial" w:cs="Arial"/>
                <w:noProof/>
                <w:color w:val="000000"/>
                <w:sz w:val="20"/>
                <w:szCs w:val="20"/>
              </w:rPr>
              <w:t> e.g.</w:t>
            </w:r>
          </w:p>
          <w:p w14:paraId="7F7C2744"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 xml:space="preserve">  Paroxetine</w:t>
            </w:r>
          </w:p>
          <w:p w14:paraId="58FB5828"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 xml:space="preserve">  Sertraline</w:t>
            </w:r>
          </w:p>
        </w:tc>
        <w:tc>
          <w:tcPr>
            <w:tcW w:w="1560" w:type="dxa"/>
            <w:shd w:val="clear" w:color="auto" w:fill="D9D9D9" w:themeFill="background1" w:themeFillShade="D9"/>
          </w:tcPr>
          <w:p w14:paraId="3D71EB7F" w14:textId="77777777" w:rsidR="008F0170" w:rsidRPr="00AD3E1D" w:rsidRDefault="008F0170" w:rsidP="006751BD">
            <w:pPr>
              <w:spacing w:before="40" w:after="40"/>
              <w:ind w:left="104" w:right="-239"/>
              <w:rPr>
                <w:rFonts w:ascii="Arial" w:hAnsi="Arial" w:cs="Arial"/>
                <w:sz w:val="20"/>
                <w:szCs w:val="20"/>
              </w:rPr>
            </w:pPr>
          </w:p>
          <w:p w14:paraId="56642F5E"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p w14:paraId="5C7A06E2"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5066EEDB"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Offer trauma-focused psychological therapies before drug treatment;</w:t>
            </w:r>
          </w:p>
          <w:p w14:paraId="17E630D6"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Continue drug treatment for 12 months if response is evident at 12 weeks</w:t>
            </w:r>
          </w:p>
          <w:p w14:paraId="74EC3D15"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Paroxetine and sertraline have current licences for PTSD</w:t>
            </w:r>
          </w:p>
        </w:tc>
      </w:tr>
      <w:tr w:rsidR="008F0170" w:rsidRPr="00AD3E1D" w14:paraId="2C6C1B4E" w14:textId="77777777" w:rsidTr="008F0170">
        <w:tc>
          <w:tcPr>
            <w:tcW w:w="2835" w:type="dxa"/>
            <w:tcBorders>
              <w:bottom w:val="single" w:sz="4" w:space="0" w:color="FFFFFF" w:themeColor="background1"/>
            </w:tcBorders>
            <w:shd w:val="clear" w:color="auto" w:fill="D9D9D9" w:themeFill="background1" w:themeFillShade="D9"/>
          </w:tcPr>
          <w:p w14:paraId="0E3E1C71"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Mirtazapine</w:t>
            </w:r>
          </w:p>
        </w:tc>
        <w:tc>
          <w:tcPr>
            <w:tcW w:w="1560" w:type="dxa"/>
            <w:tcBorders>
              <w:bottom w:val="single" w:sz="4" w:space="0" w:color="FFFFFF" w:themeColor="background1"/>
            </w:tcBorders>
            <w:shd w:val="clear" w:color="auto" w:fill="D9D9D9" w:themeFill="background1" w:themeFillShade="D9"/>
          </w:tcPr>
          <w:p w14:paraId="7FD5CADA"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47D4090D"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Off-label use; sedation and weight gain likely; blood dyscrasias - monitor</w:t>
            </w:r>
          </w:p>
        </w:tc>
      </w:tr>
      <w:tr w:rsidR="008F0170" w:rsidRPr="00AD3E1D" w14:paraId="374CF33B" w14:textId="77777777" w:rsidTr="008F0170">
        <w:tc>
          <w:tcPr>
            <w:tcW w:w="2835" w:type="dxa"/>
            <w:shd w:val="clear" w:color="auto" w:fill="7F7F7F" w:themeFill="text1" w:themeFillTint="80"/>
          </w:tcPr>
          <w:p w14:paraId="4A60422C"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FFFFFF"/>
                <w:sz w:val="20"/>
                <w:szCs w:val="20"/>
              </w:rPr>
              <w:t>Second</w:t>
            </w:r>
            <w:r w:rsidRPr="00AD3E1D">
              <w:rPr>
                <w:rFonts w:ascii="Arial" w:hAnsi="Arial" w:cs="Arial"/>
                <w:b/>
                <w:noProof/>
                <w:color w:val="000000"/>
                <w:sz w:val="20"/>
                <w:szCs w:val="20"/>
              </w:rPr>
              <w:t> </w:t>
            </w:r>
            <w:r w:rsidRPr="00AD3E1D">
              <w:rPr>
                <w:rFonts w:ascii="Arial" w:hAnsi="Arial" w:cs="Arial"/>
                <w:b/>
                <w:noProof/>
                <w:color w:val="FFFFFF"/>
                <w:sz w:val="20"/>
                <w:szCs w:val="20"/>
              </w:rPr>
              <w:t>Line:</w:t>
            </w:r>
          </w:p>
        </w:tc>
        <w:tc>
          <w:tcPr>
            <w:tcW w:w="1560" w:type="dxa"/>
            <w:shd w:val="clear" w:color="auto" w:fill="7F7F7F" w:themeFill="text1" w:themeFillTint="80"/>
          </w:tcPr>
          <w:p w14:paraId="69D76CB8"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0872CDC7"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b/>
                <w:noProof/>
                <w:color w:val="FFFFFF"/>
                <w:sz w:val="20"/>
                <w:szCs w:val="20"/>
              </w:rPr>
              <w:t>Notes</w:t>
            </w:r>
          </w:p>
        </w:tc>
      </w:tr>
      <w:tr w:rsidR="008F0170" w:rsidRPr="00AD3E1D" w14:paraId="36FF7179" w14:textId="77777777" w:rsidTr="008F0170">
        <w:tc>
          <w:tcPr>
            <w:tcW w:w="2835" w:type="dxa"/>
            <w:shd w:val="clear" w:color="auto" w:fill="D9D9D9" w:themeFill="background1" w:themeFillShade="D9"/>
          </w:tcPr>
          <w:p w14:paraId="1E1BF128"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000000"/>
                <w:sz w:val="20"/>
                <w:szCs w:val="20"/>
              </w:rPr>
              <w:t>Alternative SSRI</w:t>
            </w:r>
          </w:p>
          <w:p w14:paraId="30FF5364"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 xml:space="preserve">  Citalopram</w:t>
            </w:r>
          </w:p>
          <w:p w14:paraId="4E2EDE39"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 xml:space="preserve">  Fluoxetine</w:t>
            </w:r>
          </w:p>
        </w:tc>
        <w:tc>
          <w:tcPr>
            <w:tcW w:w="1560" w:type="dxa"/>
            <w:shd w:val="clear" w:color="auto" w:fill="D9D9D9" w:themeFill="background1" w:themeFillShade="D9"/>
          </w:tcPr>
          <w:p w14:paraId="771001B4" w14:textId="77777777" w:rsidR="008F0170" w:rsidRPr="00AD3E1D" w:rsidRDefault="008F0170" w:rsidP="006751BD">
            <w:pPr>
              <w:spacing w:before="40" w:after="40"/>
              <w:ind w:left="104" w:right="-239"/>
              <w:rPr>
                <w:rFonts w:ascii="Arial" w:hAnsi="Arial" w:cs="Arial"/>
                <w:sz w:val="20"/>
                <w:szCs w:val="20"/>
              </w:rPr>
            </w:pPr>
          </w:p>
          <w:p w14:paraId="3C1E3DCB"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p w14:paraId="6F3561B2"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6DF1D868"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If first line SSRI unsuccessful or not  tolerated, a suitable alternative SSRI e.g. citalopram or fluoxetine (off-label</w:t>
            </w:r>
          </w:p>
          <w:p w14:paraId="7207F99A"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use), can be tried</w:t>
            </w:r>
          </w:p>
        </w:tc>
      </w:tr>
      <w:tr w:rsidR="008F0170" w:rsidRPr="00AD3E1D" w14:paraId="7899523A" w14:textId="77777777" w:rsidTr="008F0170">
        <w:tc>
          <w:tcPr>
            <w:tcW w:w="2835" w:type="dxa"/>
            <w:shd w:val="clear" w:color="auto" w:fill="D9D9D9" w:themeFill="background1" w:themeFillShade="D9"/>
          </w:tcPr>
          <w:p w14:paraId="00B0F16C"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000000"/>
                <w:sz w:val="20"/>
                <w:szCs w:val="20"/>
              </w:rPr>
              <w:t>Venlafaxine</w:t>
            </w:r>
          </w:p>
        </w:tc>
        <w:tc>
          <w:tcPr>
            <w:tcW w:w="1560" w:type="dxa"/>
            <w:shd w:val="clear" w:color="auto" w:fill="D9D9D9" w:themeFill="background1" w:themeFillShade="D9"/>
          </w:tcPr>
          <w:p w14:paraId="1F2A7422"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3AB60329"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Venlafaxine may be considered as an alternative to SSRIs following non-response - preferred</w:t>
            </w:r>
          </w:p>
          <w:p w14:paraId="73A413D2"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over tricyclics or MAOIs as less adverse effects</w:t>
            </w:r>
          </w:p>
        </w:tc>
      </w:tr>
      <w:tr w:rsidR="008F0170" w:rsidRPr="00AD3E1D" w14:paraId="58B61891" w14:textId="77777777" w:rsidTr="008F0170">
        <w:tc>
          <w:tcPr>
            <w:tcW w:w="2835" w:type="dxa"/>
            <w:tcBorders>
              <w:bottom w:val="single" w:sz="4" w:space="0" w:color="FFFFFF" w:themeColor="background1"/>
            </w:tcBorders>
            <w:shd w:val="clear" w:color="auto" w:fill="D9D9D9" w:themeFill="background1" w:themeFillShade="D9"/>
          </w:tcPr>
          <w:p w14:paraId="2CF46D7D"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000000"/>
                <w:sz w:val="20"/>
                <w:szCs w:val="20"/>
              </w:rPr>
              <w:t>MAOIs i.e.</w:t>
            </w:r>
          </w:p>
          <w:p w14:paraId="381915F9"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 xml:space="preserve">  phenelzine</w:t>
            </w:r>
          </w:p>
        </w:tc>
        <w:tc>
          <w:tcPr>
            <w:tcW w:w="1560" w:type="dxa"/>
            <w:tcBorders>
              <w:bottom w:val="single" w:sz="4" w:space="0" w:color="FFFFFF" w:themeColor="background1"/>
            </w:tcBorders>
            <w:shd w:val="clear" w:color="auto" w:fill="D9D9D9" w:themeFill="background1" w:themeFillShade="D9"/>
          </w:tcPr>
          <w:p w14:paraId="356CC8D3" w14:textId="77777777" w:rsidR="008F0170" w:rsidRPr="00AD3E1D" w:rsidRDefault="008F0170" w:rsidP="006751BD">
            <w:pPr>
              <w:spacing w:before="40" w:after="40"/>
              <w:ind w:left="104" w:right="-239"/>
              <w:rPr>
                <w:rFonts w:ascii="Arial" w:hAnsi="Arial" w:cs="Arial"/>
                <w:sz w:val="20"/>
                <w:szCs w:val="20"/>
              </w:rPr>
            </w:pPr>
          </w:p>
          <w:p w14:paraId="2961188D"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tcBorders>
              <w:bottom w:val="single" w:sz="4" w:space="0" w:color="FFFFFF" w:themeColor="background1"/>
            </w:tcBorders>
            <w:shd w:val="clear" w:color="auto" w:fill="D9D9D9" w:themeFill="background1" w:themeFillShade="D9"/>
          </w:tcPr>
          <w:p w14:paraId="0CF7A128"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Consultant only; Can reduce traumatic recollections and nightmares, and repress flashbacks;</w:t>
            </w:r>
          </w:p>
          <w:p w14:paraId="12EE3D65"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MAOI treatment requires careful BP monitoring and advice on drug and food interactions</w:t>
            </w:r>
          </w:p>
        </w:tc>
      </w:tr>
      <w:tr w:rsidR="008F0170" w:rsidRPr="00AD3E1D" w14:paraId="10711FE5" w14:textId="77777777" w:rsidTr="008F0170">
        <w:tc>
          <w:tcPr>
            <w:tcW w:w="2835" w:type="dxa"/>
            <w:shd w:val="clear" w:color="auto" w:fill="7F7F7F" w:themeFill="text1" w:themeFillTint="80"/>
          </w:tcPr>
          <w:p w14:paraId="5CD95A73"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b/>
                <w:noProof/>
                <w:color w:val="FFFFFF"/>
                <w:sz w:val="20"/>
                <w:szCs w:val="20"/>
              </w:rPr>
              <w:t>Other</w:t>
            </w:r>
            <w:r w:rsidRPr="00AD3E1D">
              <w:rPr>
                <w:rFonts w:ascii="Arial" w:hAnsi="Arial" w:cs="Arial"/>
                <w:b/>
                <w:noProof/>
                <w:color w:val="000000"/>
                <w:sz w:val="20"/>
                <w:szCs w:val="20"/>
              </w:rPr>
              <w:t> </w:t>
            </w:r>
            <w:r w:rsidRPr="00AD3E1D">
              <w:rPr>
                <w:rFonts w:ascii="Arial" w:hAnsi="Arial" w:cs="Arial"/>
                <w:b/>
                <w:noProof/>
                <w:color w:val="FFFFFF"/>
                <w:sz w:val="20"/>
                <w:szCs w:val="20"/>
              </w:rPr>
              <w:t>Treatments</w:t>
            </w:r>
          </w:p>
        </w:tc>
        <w:tc>
          <w:tcPr>
            <w:tcW w:w="1560" w:type="dxa"/>
            <w:shd w:val="clear" w:color="auto" w:fill="7F7F7F" w:themeFill="text1" w:themeFillTint="80"/>
          </w:tcPr>
          <w:p w14:paraId="196FDD93"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FFFFFF"/>
                <w:sz w:val="20"/>
                <w:szCs w:val="20"/>
              </w:rPr>
              <w:t>Relative</w:t>
            </w:r>
            <w:r w:rsidRPr="00AD3E1D">
              <w:rPr>
                <w:rFonts w:ascii="Arial" w:hAnsi="Arial" w:cs="Arial"/>
                <w:b/>
                <w:noProof/>
                <w:color w:val="000000"/>
                <w:sz w:val="20"/>
                <w:szCs w:val="20"/>
              </w:rPr>
              <w:t> </w:t>
            </w:r>
            <w:r w:rsidRPr="00AD3E1D">
              <w:rPr>
                <w:rFonts w:ascii="Arial" w:hAnsi="Arial" w:cs="Arial"/>
                <w:b/>
                <w:noProof/>
                <w:color w:val="FFFFFF"/>
                <w:sz w:val="20"/>
                <w:szCs w:val="20"/>
              </w:rPr>
              <w:t>Cost</w:t>
            </w:r>
          </w:p>
        </w:tc>
        <w:tc>
          <w:tcPr>
            <w:tcW w:w="10631" w:type="dxa"/>
            <w:shd w:val="clear" w:color="auto" w:fill="7F7F7F" w:themeFill="text1" w:themeFillTint="80"/>
          </w:tcPr>
          <w:p w14:paraId="7394042D"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b/>
                <w:noProof/>
                <w:color w:val="FFFFFF"/>
                <w:sz w:val="20"/>
                <w:szCs w:val="20"/>
              </w:rPr>
              <w:t>Notes</w:t>
            </w:r>
          </w:p>
        </w:tc>
      </w:tr>
      <w:tr w:rsidR="008F0170" w:rsidRPr="00AD3E1D" w14:paraId="7140044C" w14:textId="77777777" w:rsidTr="008F0170">
        <w:tc>
          <w:tcPr>
            <w:tcW w:w="2835" w:type="dxa"/>
            <w:shd w:val="clear" w:color="auto" w:fill="D9D9D9" w:themeFill="background1" w:themeFillShade="D9"/>
          </w:tcPr>
          <w:p w14:paraId="5EE15D3F"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Hypnotics</w:t>
            </w:r>
          </w:p>
          <w:p w14:paraId="06C3178D"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liquids</w:t>
            </w:r>
          </w:p>
        </w:tc>
        <w:tc>
          <w:tcPr>
            <w:tcW w:w="1560" w:type="dxa"/>
            <w:shd w:val="clear" w:color="auto" w:fill="D9D9D9" w:themeFill="background1" w:themeFillShade="D9"/>
          </w:tcPr>
          <w:p w14:paraId="056B31A7"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p w14:paraId="7C5C7455"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01E7E894"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May be appropriate for short-term use only where lack of sleep is a major problem; risk of</w:t>
            </w:r>
          </w:p>
          <w:p w14:paraId="38D22772"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dependence</w:t>
            </w:r>
          </w:p>
        </w:tc>
      </w:tr>
      <w:tr w:rsidR="008F0170" w:rsidRPr="00AD3E1D" w14:paraId="3F4793E6" w14:textId="77777777" w:rsidTr="008F0170">
        <w:tc>
          <w:tcPr>
            <w:tcW w:w="2835" w:type="dxa"/>
            <w:shd w:val="clear" w:color="auto" w:fill="D9D9D9" w:themeFill="background1" w:themeFillShade="D9"/>
          </w:tcPr>
          <w:p w14:paraId="3FF1DE2E"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Benzodiazepines</w:t>
            </w:r>
          </w:p>
        </w:tc>
        <w:tc>
          <w:tcPr>
            <w:tcW w:w="1560" w:type="dxa"/>
            <w:shd w:val="clear" w:color="auto" w:fill="D9D9D9" w:themeFill="background1" w:themeFillShade="D9"/>
          </w:tcPr>
          <w:p w14:paraId="3CE56D3E"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489CB7E4"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May be helpful for short-term management of severe anxiety; risk of dependence and misuse</w:t>
            </w:r>
          </w:p>
        </w:tc>
      </w:tr>
      <w:tr w:rsidR="008F0170" w:rsidRPr="00AD3E1D" w14:paraId="594319A6" w14:textId="77777777" w:rsidTr="008F0170">
        <w:tc>
          <w:tcPr>
            <w:tcW w:w="2835" w:type="dxa"/>
            <w:shd w:val="clear" w:color="auto" w:fill="D9D9D9" w:themeFill="background1" w:themeFillShade="D9"/>
          </w:tcPr>
          <w:p w14:paraId="3801B1E0" w14:textId="77777777" w:rsidR="008F0170" w:rsidRPr="00AD3E1D" w:rsidRDefault="008F0170" w:rsidP="006751BD">
            <w:pPr>
              <w:spacing w:before="40" w:after="40"/>
              <w:ind w:left="102" w:right="-239"/>
              <w:rPr>
                <w:rFonts w:ascii="Arial" w:hAnsi="Arial" w:cs="Arial"/>
                <w:sz w:val="20"/>
                <w:szCs w:val="20"/>
              </w:rPr>
            </w:pPr>
            <w:r w:rsidRPr="00AD3E1D">
              <w:rPr>
                <w:rFonts w:ascii="Arial" w:hAnsi="Arial" w:cs="Arial"/>
                <w:noProof/>
                <w:color w:val="000000"/>
                <w:sz w:val="20"/>
                <w:szCs w:val="20"/>
              </w:rPr>
              <w:t>Antiepileptics</w:t>
            </w:r>
          </w:p>
        </w:tc>
        <w:tc>
          <w:tcPr>
            <w:tcW w:w="1560" w:type="dxa"/>
            <w:shd w:val="clear" w:color="auto" w:fill="D9D9D9" w:themeFill="background1" w:themeFillShade="D9"/>
          </w:tcPr>
          <w:p w14:paraId="3411B79E" w14:textId="77777777" w:rsidR="008F0170" w:rsidRPr="00AD3E1D" w:rsidRDefault="008F0170" w:rsidP="006751BD">
            <w:pPr>
              <w:spacing w:before="40" w:after="40"/>
              <w:ind w:left="104" w:right="-239"/>
              <w:rPr>
                <w:rFonts w:ascii="Arial" w:hAnsi="Arial" w:cs="Arial"/>
                <w:sz w:val="20"/>
                <w:szCs w:val="20"/>
              </w:rPr>
            </w:pPr>
            <w:r w:rsidRPr="00AD3E1D">
              <w:rPr>
                <w:rFonts w:ascii="Arial" w:hAnsi="Arial" w:cs="Arial"/>
                <w:b/>
                <w:noProof/>
                <w:color w:val="000000"/>
                <w:sz w:val="20"/>
                <w:szCs w:val="20"/>
              </w:rPr>
              <w:t>£-£££</w:t>
            </w:r>
          </w:p>
        </w:tc>
        <w:tc>
          <w:tcPr>
            <w:tcW w:w="10631" w:type="dxa"/>
            <w:shd w:val="clear" w:color="auto" w:fill="D9D9D9" w:themeFill="background1" w:themeFillShade="D9"/>
          </w:tcPr>
          <w:p w14:paraId="26BDE8B0"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Carbamazepine, valproate, topiramate – limited benefits in some benefits; off-label for specific</w:t>
            </w:r>
          </w:p>
          <w:p w14:paraId="5E947BEE"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symptom clusters; e.g. hyper-reactivity, violent behaviour, angry outbursts, avoidance (social</w:t>
            </w:r>
          </w:p>
          <w:p w14:paraId="01634B0E" w14:textId="77777777" w:rsidR="008F0170" w:rsidRPr="00AD3E1D" w:rsidRDefault="008F0170" w:rsidP="006751BD">
            <w:pPr>
              <w:spacing w:before="40" w:after="40"/>
              <w:ind w:left="101" w:right="-239"/>
              <w:rPr>
                <w:rFonts w:ascii="Arial" w:hAnsi="Arial" w:cs="Arial"/>
                <w:sz w:val="20"/>
                <w:szCs w:val="20"/>
              </w:rPr>
            </w:pPr>
            <w:r w:rsidRPr="00AD3E1D">
              <w:rPr>
                <w:rFonts w:ascii="Arial" w:hAnsi="Arial" w:cs="Arial"/>
                <w:noProof/>
                <w:color w:val="000000"/>
                <w:sz w:val="20"/>
                <w:szCs w:val="20"/>
              </w:rPr>
              <w:t>withdrawal) and intrusion</w:t>
            </w:r>
          </w:p>
        </w:tc>
      </w:tr>
    </w:tbl>
    <w:p w14:paraId="7E3BCCAB" w14:textId="77777777" w:rsidR="008F0170" w:rsidRDefault="008F0170" w:rsidP="00E47A0B">
      <w:pPr>
        <w:pStyle w:val="ListParagraph"/>
        <w:spacing w:after="0" w:line="240" w:lineRule="auto"/>
        <w:ind w:left="0"/>
        <w:rPr>
          <w:rFonts w:ascii="Arial" w:hAnsi="Arial" w:cs="Arial"/>
          <w:color w:val="0070C0"/>
        </w:rPr>
      </w:pPr>
    </w:p>
    <w:p w14:paraId="5727BFD8" w14:textId="77777777" w:rsidR="008F0170" w:rsidRDefault="008F0170" w:rsidP="00E47A0B">
      <w:pPr>
        <w:pStyle w:val="ListParagraph"/>
        <w:spacing w:after="0" w:line="240" w:lineRule="auto"/>
        <w:ind w:left="0"/>
        <w:rPr>
          <w:rFonts w:ascii="Arial" w:hAnsi="Arial" w:cs="Arial"/>
          <w:color w:val="0070C0"/>
        </w:rPr>
      </w:pPr>
    </w:p>
    <w:p w14:paraId="2AF7A7E6" w14:textId="77777777" w:rsidR="009A0E2B" w:rsidRPr="009A0E2B" w:rsidRDefault="009A0E2B" w:rsidP="00E47A0B">
      <w:pPr>
        <w:pStyle w:val="ListParagraph"/>
        <w:spacing w:after="0" w:line="240" w:lineRule="auto"/>
        <w:ind w:left="0"/>
        <w:rPr>
          <w:rFonts w:ascii="Arial" w:hAnsi="Arial" w:cs="Arial"/>
          <w:color w:val="0070C0"/>
        </w:rPr>
      </w:pPr>
    </w:p>
    <w:sectPr w:rsidR="009A0E2B" w:rsidRPr="009A0E2B" w:rsidSect="00ED3097">
      <w:footerReference w:type="default" r:id="rId19"/>
      <w:pgSz w:w="16838" w:h="11906" w:orient="landscape"/>
      <w:pgMar w:top="567" w:right="720" w:bottom="992" w:left="720"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20229" w14:textId="77777777" w:rsidR="00A945A4" w:rsidRDefault="00A945A4" w:rsidP="008C2314">
      <w:pPr>
        <w:spacing w:after="0" w:line="240" w:lineRule="auto"/>
      </w:pPr>
      <w:r>
        <w:separator/>
      </w:r>
    </w:p>
  </w:endnote>
  <w:endnote w:type="continuationSeparator" w:id="0">
    <w:p w14:paraId="3CB1888F" w14:textId="77777777" w:rsidR="00A945A4" w:rsidRDefault="00A945A4" w:rsidP="008C2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C19F" w14:textId="4A76D5ED" w:rsidR="00AD3E1D" w:rsidRPr="00AD3E1D" w:rsidRDefault="00AD3E1D" w:rsidP="00AD3E1D">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LAST REVIEWED </w:t>
    </w:r>
    <w:r w:rsidR="006751BD">
      <w:rPr>
        <w:rFonts w:ascii="Arial" w:hAnsi="Arial" w:cs="Arial"/>
        <w:color w:val="000000" w:themeColor="text1"/>
        <w:sz w:val="20"/>
        <w:szCs w:val="20"/>
      </w:rPr>
      <w:t>APRIL</w:t>
    </w:r>
    <w:r w:rsidRPr="00AD3E1D">
      <w:rPr>
        <w:rFonts w:ascii="Arial" w:hAnsi="Arial" w:cs="Arial"/>
        <w:color w:val="000000" w:themeColor="text1"/>
        <w:sz w:val="20"/>
        <w:szCs w:val="20"/>
      </w:rPr>
      <w:t xml:space="preserve"> 2023</w:t>
    </w:r>
  </w:p>
  <w:p w14:paraId="73DC8A2D" w14:textId="3035E4B0" w:rsidR="003560E9" w:rsidRPr="00AD3E1D" w:rsidRDefault="00AD3E1D" w:rsidP="00AD3E1D">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DUE FOR REVIEW </w:t>
    </w:r>
    <w:r w:rsidR="006751BD">
      <w:rPr>
        <w:rFonts w:ascii="Arial" w:hAnsi="Arial" w:cs="Arial"/>
        <w:color w:val="000000" w:themeColor="text1"/>
        <w:sz w:val="20"/>
        <w:szCs w:val="20"/>
      </w:rPr>
      <w:t>APRIL</w:t>
    </w:r>
    <w:r w:rsidRPr="00AD3E1D">
      <w:rPr>
        <w:rFonts w:ascii="Arial" w:hAnsi="Arial" w:cs="Arial"/>
        <w:color w:val="000000" w:themeColor="text1"/>
        <w:sz w:val="20"/>
        <w:szCs w:val="20"/>
      </w:rPr>
      <w:t xml:space="preserve"> 2026</w:t>
    </w:r>
  </w:p>
  <w:p w14:paraId="6EADE26C" w14:textId="77777777" w:rsidR="003560E9" w:rsidRDefault="003560E9">
    <w:pPr>
      <w:pStyle w:val="Footer"/>
    </w:pPr>
    <w:r>
      <w:rPr>
        <w:noProof/>
        <w:lang w:eastAsia="en-GB"/>
      </w:rPr>
      <mc:AlternateContent>
        <mc:Choice Requires="wps">
          <w:drawing>
            <wp:anchor distT="0" distB="0" distL="114300" distR="114300" simplePos="0" relativeHeight="251659264" behindDoc="0" locked="0" layoutInCell="1" allowOverlap="1" wp14:anchorId="0EED41F6" wp14:editId="137C7D92">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DC6EC24" w14:textId="77777777" w:rsidR="003560E9" w:rsidRPr="00AD3E1D" w:rsidRDefault="003560E9">
                          <w:pPr>
                            <w:pStyle w:val="Footer"/>
                            <w:jc w:val="right"/>
                            <w:rPr>
                              <w:rFonts w:ascii="Arial" w:hAnsi="Arial" w:cs="Arial"/>
                              <w:color w:val="000000" w:themeColor="text1"/>
                              <w:sz w:val="20"/>
                              <w:szCs w:val="20"/>
                            </w:rPr>
                          </w:pPr>
                          <w:r w:rsidRPr="00AD3E1D">
                            <w:rPr>
                              <w:rFonts w:ascii="Arial" w:hAnsi="Arial" w:cs="Arial"/>
                              <w:color w:val="000000" w:themeColor="text1"/>
                              <w:sz w:val="20"/>
                              <w:szCs w:val="20"/>
                            </w:rPr>
                            <w:fldChar w:fldCharType="begin"/>
                          </w:r>
                          <w:r w:rsidRPr="00AD3E1D">
                            <w:rPr>
                              <w:rFonts w:ascii="Arial" w:hAnsi="Arial" w:cs="Arial"/>
                              <w:color w:val="000000" w:themeColor="text1"/>
                              <w:sz w:val="20"/>
                              <w:szCs w:val="20"/>
                            </w:rPr>
                            <w:instrText xml:space="preserve"> PAGE  \* Arabic  \* MERGEFORMAT </w:instrText>
                          </w:r>
                          <w:r w:rsidRPr="00AD3E1D">
                            <w:rPr>
                              <w:rFonts w:ascii="Arial" w:hAnsi="Arial" w:cs="Arial"/>
                              <w:color w:val="000000" w:themeColor="text1"/>
                              <w:sz w:val="20"/>
                              <w:szCs w:val="20"/>
                            </w:rPr>
                            <w:fldChar w:fldCharType="separate"/>
                          </w:r>
                          <w:r w:rsidR="00217638" w:rsidRPr="00AD3E1D">
                            <w:rPr>
                              <w:rFonts w:ascii="Arial" w:hAnsi="Arial" w:cs="Arial"/>
                              <w:noProof/>
                              <w:color w:val="000000" w:themeColor="text1"/>
                              <w:sz w:val="20"/>
                              <w:szCs w:val="20"/>
                            </w:rPr>
                            <w:t>9</w:t>
                          </w:r>
                          <w:r w:rsidRPr="00AD3E1D">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ED41F6"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0DC6EC24" w14:textId="77777777" w:rsidR="003560E9" w:rsidRPr="00AD3E1D" w:rsidRDefault="003560E9">
                    <w:pPr>
                      <w:pStyle w:val="Footer"/>
                      <w:jc w:val="right"/>
                      <w:rPr>
                        <w:rFonts w:ascii="Arial" w:hAnsi="Arial" w:cs="Arial"/>
                        <w:color w:val="000000" w:themeColor="text1"/>
                        <w:sz w:val="20"/>
                        <w:szCs w:val="20"/>
                      </w:rPr>
                    </w:pPr>
                    <w:r w:rsidRPr="00AD3E1D">
                      <w:rPr>
                        <w:rFonts w:ascii="Arial" w:hAnsi="Arial" w:cs="Arial"/>
                        <w:color w:val="000000" w:themeColor="text1"/>
                        <w:sz w:val="20"/>
                        <w:szCs w:val="20"/>
                      </w:rPr>
                      <w:fldChar w:fldCharType="begin"/>
                    </w:r>
                    <w:r w:rsidRPr="00AD3E1D">
                      <w:rPr>
                        <w:rFonts w:ascii="Arial" w:hAnsi="Arial" w:cs="Arial"/>
                        <w:color w:val="000000" w:themeColor="text1"/>
                        <w:sz w:val="20"/>
                        <w:szCs w:val="20"/>
                      </w:rPr>
                      <w:instrText xml:space="preserve"> PAGE  \* Arabic  \* MERGEFORMAT </w:instrText>
                    </w:r>
                    <w:r w:rsidRPr="00AD3E1D">
                      <w:rPr>
                        <w:rFonts w:ascii="Arial" w:hAnsi="Arial" w:cs="Arial"/>
                        <w:color w:val="000000" w:themeColor="text1"/>
                        <w:sz w:val="20"/>
                        <w:szCs w:val="20"/>
                      </w:rPr>
                      <w:fldChar w:fldCharType="separate"/>
                    </w:r>
                    <w:r w:rsidR="00217638" w:rsidRPr="00AD3E1D">
                      <w:rPr>
                        <w:rFonts w:ascii="Arial" w:hAnsi="Arial" w:cs="Arial"/>
                        <w:noProof/>
                        <w:color w:val="000000" w:themeColor="text1"/>
                        <w:sz w:val="20"/>
                        <w:szCs w:val="20"/>
                      </w:rPr>
                      <w:t>9</w:t>
                    </w:r>
                    <w:r w:rsidRPr="00AD3E1D">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0288" behindDoc="1" locked="0" layoutInCell="1" allowOverlap="1" wp14:anchorId="36AE5655" wp14:editId="28DF3C5D">
              <wp:simplePos x="0" y="0"/>
              <wp:positionH relativeFrom="margin">
                <wp:align>center</wp:align>
              </wp:positionH>
              <wp:positionV relativeFrom="bottomMargin">
                <wp:align>top</wp:align>
              </wp:positionV>
              <wp:extent cx="5943600" cy="36195"/>
              <wp:effectExtent l="0" t="0" r="4445"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787C7E8"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682F" w14:textId="262B6D6C" w:rsidR="00AD3E1D" w:rsidRPr="00AD3E1D" w:rsidRDefault="00AD3E1D" w:rsidP="00AD3E1D">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LAST REVIEWED </w:t>
    </w:r>
    <w:r w:rsidR="006751BD">
      <w:rPr>
        <w:rFonts w:ascii="Arial" w:hAnsi="Arial" w:cs="Arial"/>
        <w:color w:val="000000" w:themeColor="text1"/>
        <w:sz w:val="20"/>
        <w:szCs w:val="20"/>
      </w:rPr>
      <w:t>APRIL</w:t>
    </w:r>
    <w:r w:rsidRPr="00AD3E1D">
      <w:rPr>
        <w:rFonts w:ascii="Arial" w:hAnsi="Arial" w:cs="Arial"/>
        <w:color w:val="000000" w:themeColor="text1"/>
        <w:sz w:val="20"/>
        <w:szCs w:val="20"/>
      </w:rPr>
      <w:t xml:space="preserve"> 2023</w:t>
    </w:r>
  </w:p>
  <w:p w14:paraId="1E83BF8F" w14:textId="174544CA" w:rsidR="00AD3E1D" w:rsidRPr="00AD3E1D" w:rsidRDefault="00AD3E1D" w:rsidP="00AD3E1D">
    <w:pPr>
      <w:pStyle w:val="Footer"/>
      <w:spacing w:before="120"/>
      <w:contextualSpacing/>
      <w:rPr>
        <w:rFonts w:ascii="Arial" w:hAnsi="Arial" w:cs="Arial"/>
        <w:color w:val="000000" w:themeColor="text1"/>
        <w:sz w:val="20"/>
        <w:szCs w:val="20"/>
      </w:rPr>
    </w:pPr>
    <w:r w:rsidRPr="00AD3E1D">
      <w:rPr>
        <w:rFonts w:ascii="Arial" w:hAnsi="Arial" w:cs="Arial"/>
        <w:color w:val="000000" w:themeColor="text1"/>
        <w:sz w:val="20"/>
        <w:szCs w:val="20"/>
      </w:rPr>
      <w:t xml:space="preserve">DUE FOR REVIEW </w:t>
    </w:r>
    <w:r w:rsidR="006751BD">
      <w:rPr>
        <w:rFonts w:ascii="Arial" w:hAnsi="Arial" w:cs="Arial"/>
        <w:color w:val="000000" w:themeColor="text1"/>
        <w:sz w:val="20"/>
        <w:szCs w:val="20"/>
      </w:rPr>
      <w:t>APRIL</w:t>
    </w:r>
    <w:r w:rsidRPr="00AD3E1D">
      <w:rPr>
        <w:rFonts w:ascii="Arial" w:hAnsi="Arial" w:cs="Arial"/>
        <w:color w:val="000000" w:themeColor="text1"/>
        <w:sz w:val="20"/>
        <w:szCs w:val="20"/>
      </w:rPr>
      <w:t xml:space="preserve"> 2026</w:t>
    </w:r>
  </w:p>
  <w:p w14:paraId="66EFA45F" w14:textId="77777777" w:rsidR="00AD3E1D" w:rsidRDefault="00AD3E1D">
    <w:pPr>
      <w:pStyle w:val="Footer"/>
    </w:pPr>
    <w:r>
      <w:rPr>
        <w:noProof/>
        <w:lang w:eastAsia="en-GB"/>
      </w:rPr>
      <mc:AlternateContent>
        <mc:Choice Requires="wps">
          <w:drawing>
            <wp:anchor distT="0" distB="0" distL="114300" distR="114300" simplePos="0" relativeHeight="251662336" behindDoc="0" locked="0" layoutInCell="1" allowOverlap="1" wp14:anchorId="1281AD6D" wp14:editId="13E6EB11">
              <wp:simplePos x="0" y="0"/>
              <wp:positionH relativeFrom="margin">
                <wp:align>right</wp:align>
              </wp:positionH>
              <wp:positionV relativeFrom="bottomMargin">
                <wp:align>top</wp:align>
              </wp:positionV>
              <wp:extent cx="1508760" cy="395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FED2446" w14:textId="77777777" w:rsidR="00AD3E1D" w:rsidRPr="00AD3E1D" w:rsidRDefault="00AD3E1D">
                          <w:pPr>
                            <w:pStyle w:val="Footer"/>
                            <w:jc w:val="right"/>
                            <w:rPr>
                              <w:rFonts w:ascii="Arial" w:hAnsi="Arial" w:cs="Arial"/>
                              <w:color w:val="000000" w:themeColor="text1"/>
                              <w:sz w:val="20"/>
                              <w:szCs w:val="20"/>
                            </w:rPr>
                          </w:pPr>
                          <w:r w:rsidRPr="00AD3E1D">
                            <w:rPr>
                              <w:rFonts w:ascii="Arial" w:hAnsi="Arial" w:cs="Arial"/>
                              <w:color w:val="000000" w:themeColor="text1"/>
                              <w:sz w:val="20"/>
                              <w:szCs w:val="20"/>
                            </w:rPr>
                            <w:fldChar w:fldCharType="begin"/>
                          </w:r>
                          <w:r w:rsidRPr="00AD3E1D">
                            <w:rPr>
                              <w:rFonts w:ascii="Arial" w:hAnsi="Arial" w:cs="Arial"/>
                              <w:color w:val="000000" w:themeColor="text1"/>
                              <w:sz w:val="20"/>
                              <w:szCs w:val="20"/>
                            </w:rPr>
                            <w:instrText xml:space="preserve"> PAGE  \* Arabic  \* MERGEFORMAT </w:instrText>
                          </w:r>
                          <w:r w:rsidRPr="00AD3E1D">
                            <w:rPr>
                              <w:rFonts w:ascii="Arial" w:hAnsi="Arial" w:cs="Arial"/>
                              <w:color w:val="000000" w:themeColor="text1"/>
                              <w:sz w:val="20"/>
                              <w:szCs w:val="20"/>
                            </w:rPr>
                            <w:fldChar w:fldCharType="separate"/>
                          </w:r>
                          <w:r w:rsidRPr="00AD3E1D">
                            <w:rPr>
                              <w:rFonts w:ascii="Arial" w:hAnsi="Arial" w:cs="Arial"/>
                              <w:noProof/>
                              <w:color w:val="000000" w:themeColor="text1"/>
                              <w:sz w:val="20"/>
                              <w:szCs w:val="20"/>
                            </w:rPr>
                            <w:t>9</w:t>
                          </w:r>
                          <w:r w:rsidRPr="00AD3E1D">
                            <w:rPr>
                              <w:rFonts w:ascii="Arial" w:hAnsi="Arial" w:cs="Arial"/>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81AD6D" id="_x0000_t202" coordsize="21600,21600" o:spt="202" path="m,l,21600r21600,l21600,xe">
              <v:stroke joinstyle="miter"/>
              <v:path gradientshapeok="t" o:connecttype="rect"/>
            </v:shapetype>
            <v:shape id="Text Box 2" o:spid="_x0000_s1027" type="#_x0000_t202" style="position:absolute;margin-left:67.6pt;margin-top:0;width:118.8pt;height:31.15pt;z-index:25166233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4FED2446" w14:textId="77777777" w:rsidR="00AD3E1D" w:rsidRPr="00AD3E1D" w:rsidRDefault="00AD3E1D">
                    <w:pPr>
                      <w:pStyle w:val="Footer"/>
                      <w:jc w:val="right"/>
                      <w:rPr>
                        <w:rFonts w:ascii="Arial" w:hAnsi="Arial" w:cs="Arial"/>
                        <w:color w:val="000000" w:themeColor="text1"/>
                        <w:sz w:val="20"/>
                        <w:szCs w:val="20"/>
                      </w:rPr>
                    </w:pPr>
                    <w:r w:rsidRPr="00AD3E1D">
                      <w:rPr>
                        <w:rFonts w:ascii="Arial" w:hAnsi="Arial" w:cs="Arial"/>
                        <w:color w:val="000000" w:themeColor="text1"/>
                        <w:sz w:val="20"/>
                        <w:szCs w:val="20"/>
                      </w:rPr>
                      <w:fldChar w:fldCharType="begin"/>
                    </w:r>
                    <w:r w:rsidRPr="00AD3E1D">
                      <w:rPr>
                        <w:rFonts w:ascii="Arial" w:hAnsi="Arial" w:cs="Arial"/>
                        <w:color w:val="000000" w:themeColor="text1"/>
                        <w:sz w:val="20"/>
                        <w:szCs w:val="20"/>
                      </w:rPr>
                      <w:instrText xml:space="preserve"> PAGE  \* Arabic  \* MERGEFORMAT </w:instrText>
                    </w:r>
                    <w:r w:rsidRPr="00AD3E1D">
                      <w:rPr>
                        <w:rFonts w:ascii="Arial" w:hAnsi="Arial" w:cs="Arial"/>
                        <w:color w:val="000000" w:themeColor="text1"/>
                        <w:sz w:val="20"/>
                        <w:szCs w:val="20"/>
                      </w:rPr>
                      <w:fldChar w:fldCharType="separate"/>
                    </w:r>
                    <w:r w:rsidRPr="00AD3E1D">
                      <w:rPr>
                        <w:rFonts w:ascii="Arial" w:hAnsi="Arial" w:cs="Arial"/>
                        <w:noProof/>
                        <w:color w:val="000000" w:themeColor="text1"/>
                        <w:sz w:val="20"/>
                        <w:szCs w:val="20"/>
                      </w:rPr>
                      <w:t>9</w:t>
                    </w:r>
                    <w:r w:rsidRPr="00AD3E1D">
                      <w:rPr>
                        <w:rFonts w:ascii="Arial" w:hAnsi="Arial" w:cs="Arial"/>
                        <w:color w:val="000000" w:themeColor="text1"/>
                        <w:sz w:val="20"/>
                        <w:szCs w:val="20"/>
                      </w:rPr>
                      <w:fldChar w:fldCharType="end"/>
                    </w:r>
                  </w:p>
                </w:txbxContent>
              </v:textbox>
              <w10:wrap anchorx="margin" anchory="margin"/>
            </v:shape>
          </w:pict>
        </mc:Fallback>
      </mc:AlternateContent>
    </w:r>
    <w:r>
      <w:rPr>
        <w:noProof/>
        <w:color w:val="4F81BD" w:themeColor="accent1"/>
        <w:lang w:eastAsia="en-GB"/>
      </w:rPr>
      <mc:AlternateContent>
        <mc:Choice Requires="wps">
          <w:drawing>
            <wp:anchor distT="91440" distB="91440" distL="114300" distR="114300" simplePos="0" relativeHeight="251663360" behindDoc="1" locked="0" layoutInCell="1" allowOverlap="1" wp14:anchorId="1CD4B50F" wp14:editId="2732B7AC">
              <wp:simplePos x="0" y="0"/>
              <wp:positionH relativeFrom="margin">
                <wp:align>center</wp:align>
              </wp:positionH>
              <wp:positionV relativeFrom="bottomMargin">
                <wp:align>top</wp:align>
              </wp:positionV>
              <wp:extent cx="5943600" cy="36195"/>
              <wp:effectExtent l="0" t="0" r="4445" b="0"/>
              <wp:wrapSquare wrapText="bothSides"/>
              <wp:docPr id="3" name="Rectangle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28C7502" id="Rectangle 3" o:spid="_x0000_s1026" style="position:absolute;margin-left:0;margin-top:0;width:468pt;height:2.85pt;z-index:-251653120;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5EDF" w14:textId="77777777" w:rsidR="00A945A4" w:rsidRDefault="00A945A4" w:rsidP="008C2314">
      <w:pPr>
        <w:spacing w:after="0" w:line="240" w:lineRule="auto"/>
      </w:pPr>
      <w:r>
        <w:separator/>
      </w:r>
    </w:p>
  </w:footnote>
  <w:footnote w:type="continuationSeparator" w:id="0">
    <w:p w14:paraId="3FF3B36B" w14:textId="77777777" w:rsidR="00A945A4" w:rsidRDefault="00A945A4" w:rsidP="008C2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FA5"/>
    <w:multiLevelType w:val="hybridMultilevel"/>
    <w:tmpl w:val="51C41C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5F5D86"/>
    <w:multiLevelType w:val="hybridMultilevel"/>
    <w:tmpl w:val="6DE42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D45AE"/>
    <w:multiLevelType w:val="hybridMultilevel"/>
    <w:tmpl w:val="F022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F4229"/>
    <w:multiLevelType w:val="hybridMultilevel"/>
    <w:tmpl w:val="DAE622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293369"/>
    <w:multiLevelType w:val="multilevel"/>
    <w:tmpl w:val="11C6532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4246ED"/>
    <w:multiLevelType w:val="hybridMultilevel"/>
    <w:tmpl w:val="BB1CD4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DF46A3"/>
    <w:multiLevelType w:val="hybridMultilevel"/>
    <w:tmpl w:val="4E5C8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9404B5"/>
    <w:multiLevelType w:val="hybridMultilevel"/>
    <w:tmpl w:val="D46CAB8C"/>
    <w:lvl w:ilvl="0" w:tplc="08090001">
      <w:start w:val="1"/>
      <w:numFmt w:val="bullet"/>
      <w:lvlText w:val=""/>
      <w:lvlJc w:val="left"/>
      <w:pPr>
        <w:tabs>
          <w:tab w:val="num" w:pos="1130"/>
        </w:tabs>
        <w:ind w:left="1130" w:hanging="36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cs="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cs="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cs="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8" w15:restartNumberingAfterBreak="0">
    <w:nsid w:val="1451276B"/>
    <w:multiLevelType w:val="hybridMultilevel"/>
    <w:tmpl w:val="DD6650D0"/>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61FFD"/>
    <w:multiLevelType w:val="hybridMultilevel"/>
    <w:tmpl w:val="B02ABB3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89B1538"/>
    <w:multiLevelType w:val="hybridMultilevel"/>
    <w:tmpl w:val="975E8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BB376E"/>
    <w:multiLevelType w:val="hybridMultilevel"/>
    <w:tmpl w:val="457C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061E1D"/>
    <w:multiLevelType w:val="hybridMultilevel"/>
    <w:tmpl w:val="CEE47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2A7D92"/>
    <w:multiLevelType w:val="hybridMultilevel"/>
    <w:tmpl w:val="25E666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1BE3DCF"/>
    <w:multiLevelType w:val="hybridMultilevel"/>
    <w:tmpl w:val="E4BCB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5A52DF"/>
    <w:multiLevelType w:val="hybridMultilevel"/>
    <w:tmpl w:val="E1FE7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440300"/>
    <w:multiLevelType w:val="hybridMultilevel"/>
    <w:tmpl w:val="9D08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D86DF7"/>
    <w:multiLevelType w:val="hybridMultilevel"/>
    <w:tmpl w:val="F66876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344F16"/>
    <w:multiLevelType w:val="hybridMultilevel"/>
    <w:tmpl w:val="32985954"/>
    <w:lvl w:ilvl="0" w:tplc="08090001">
      <w:start w:val="1"/>
      <w:numFmt w:val="bullet"/>
      <w:lvlText w:val=""/>
      <w:lvlJc w:val="left"/>
      <w:pPr>
        <w:ind w:left="1080" w:hanging="360"/>
      </w:pPr>
      <w:rPr>
        <w:rFonts w:ascii="Symbol" w:hAnsi="Symbol" w:hint="default"/>
      </w:rPr>
    </w:lvl>
    <w:lvl w:ilvl="1" w:tplc="76285E96">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F34E84"/>
    <w:multiLevelType w:val="hybridMultilevel"/>
    <w:tmpl w:val="1F06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D7758"/>
    <w:multiLevelType w:val="hybridMultilevel"/>
    <w:tmpl w:val="9252E856"/>
    <w:lvl w:ilvl="0" w:tplc="F3D4A8DC">
      <w:start w:val="1"/>
      <w:numFmt w:val="decimal"/>
      <w:lvlText w:val="%1."/>
      <w:lvlJc w:val="left"/>
      <w:pPr>
        <w:ind w:left="1080" w:hanging="360"/>
      </w:pPr>
      <w:rPr>
        <w:rFonts w:hint="default"/>
        <w:b w:val="0"/>
        <w:bCs/>
      </w:rPr>
    </w:lvl>
    <w:lvl w:ilvl="1" w:tplc="0809000F">
      <w:start w:val="1"/>
      <w:numFmt w:val="decimal"/>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5CD4175"/>
    <w:multiLevelType w:val="hybridMultilevel"/>
    <w:tmpl w:val="B73E49F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124C62"/>
    <w:multiLevelType w:val="hybridMultilevel"/>
    <w:tmpl w:val="27AEA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144A1"/>
    <w:multiLevelType w:val="hybridMultilevel"/>
    <w:tmpl w:val="94DC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97287C"/>
    <w:multiLevelType w:val="hybridMultilevel"/>
    <w:tmpl w:val="7150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D64F1"/>
    <w:multiLevelType w:val="hybridMultilevel"/>
    <w:tmpl w:val="93D620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BF72B43"/>
    <w:multiLevelType w:val="hybridMultilevel"/>
    <w:tmpl w:val="E6528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CA82776"/>
    <w:multiLevelType w:val="hybridMultilevel"/>
    <w:tmpl w:val="3934D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11C22DE"/>
    <w:multiLevelType w:val="hybridMultilevel"/>
    <w:tmpl w:val="9320A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51E4D2C"/>
    <w:multiLevelType w:val="hybridMultilevel"/>
    <w:tmpl w:val="853A6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83F6F"/>
    <w:multiLevelType w:val="hybridMultilevel"/>
    <w:tmpl w:val="9684B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8FC2DC2"/>
    <w:multiLevelType w:val="hybridMultilevel"/>
    <w:tmpl w:val="537AF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BC036CA"/>
    <w:multiLevelType w:val="hybridMultilevel"/>
    <w:tmpl w:val="24D43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08D7C39"/>
    <w:multiLevelType w:val="hybridMultilevel"/>
    <w:tmpl w:val="D012E820"/>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4DE07B9"/>
    <w:multiLevelType w:val="hybridMultilevel"/>
    <w:tmpl w:val="04FCB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BD657FC"/>
    <w:multiLevelType w:val="hybridMultilevel"/>
    <w:tmpl w:val="050E63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1507C10"/>
    <w:multiLevelType w:val="hybridMultilevel"/>
    <w:tmpl w:val="A18E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FC3F79"/>
    <w:multiLevelType w:val="hybridMultilevel"/>
    <w:tmpl w:val="85663A7C"/>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3366808"/>
    <w:multiLevelType w:val="hybridMultilevel"/>
    <w:tmpl w:val="9EEE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4669F9"/>
    <w:multiLevelType w:val="hybridMultilevel"/>
    <w:tmpl w:val="3544E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A57C23"/>
    <w:multiLevelType w:val="hybridMultilevel"/>
    <w:tmpl w:val="02500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AF61B08"/>
    <w:multiLevelType w:val="hybridMultilevel"/>
    <w:tmpl w:val="458698C0"/>
    <w:lvl w:ilvl="0" w:tplc="08090001">
      <w:start w:val="1"/>
      <w:numFmt w:val="bullet"/>
      <w:lvlText w:val=""/>
      <w:lvlJc w:val="left"/>
      <w:pPr>
        <w:tabs>
          <w:tab w:val="num" w:pos="1130"/>
        </w:tabs>
        <w:ind w:left="1130" w:hanging="360"/>
      </w:pPr>
      <w:rPr>
        <w:rFonts w:ascii="Symbol" w:hAnsi="Symbol" w:hint="default"/>
      </w:rPr>
    </w:lvl>
    <w:lvl w:ilvl="1" w:tplc="08090003" w:tentative="1">
      <w:start w:val="1"/>
      <w:numFmt w:val="bullet"/>
      <w:lvlText w:val="o"/>
      <w:lvlJc w:val="left"/>
      <w:pPr>
        <w:tabs>
          <w:tab w:val="num" w:pos="1850"/>
        </w:tabs>
        <w:ind w:left="1850" w:hanging="360"/>
      </w:pPr>
      <w:rPr>
        <w:rFonts w:ascii="Courier New" w:hAnsi="Courier New" w:cs="Courier New" w:hint="default"/>
      </w:rPr>
    </w:lvl>
    <w:lvl w:ilvl="2" w:tplc="08090005" w:tentative="1">
      <w:start w:val="1"/>
      <w:numFmt w:val="bullet"/>
      <w:lvlText w:val=""/>
      <w:lvlJc w:val="left"/>
      <w:pPr>
        <w:tabs>
          <w:tab w:val="num" w:pos="2570"/>
        </w:tabs>
        <w:ind w:left="2570" w:hanging="360"/>
      </w:pPr>
      <w:rPr>
        <w:rFonts w:ascii="Wingdings" w:hAnsi="Wingdings" w:hint="default"/>
      </w:rPr>
    </w:lvl>
    <w:lvl w:ilvl="3" w:tplc="08090001" w:tentative="1">
      <w:start w:val="1"/>
      <w:numFmt w:val="bullet"/>
      <w:lvlText w:val=""/>
      <w:lvlJc w:val="left"/>
      <w:pPr>
        <w:tabs>
          <w:tab w:val="num" w:pos="3290"/>
        </w:tabs>
        <w:ind w:left="3290" w:hanging="360"/>
      </w:pPr>
      <w:rPr>
        <w:rFonts w:ascii="Symbol" w:hAnsi="Symbol" w:hint="default"/>
      </w:rPr>
    </w:lvl>
    <w:lvl w:ilvl="4" w:tplc="08090003" w:tentative="1">
      <w:start w:val="1"/>
      <w:numFmt w:val="bullet"/>
      <w:lvlText w:val="o"/>
      <w:lvlJc w:val="left"/>
      <w:pPr>
        <w:tabs>
          <w:tab w:val="num" w:pos="4010"/>
        </w:tabs>
        <w:ind w:left="4010" w:hanging="360"/>
      </w:pPr>
      <w:rPr>
        <w:rFonts w:ascii="Courier New" w:hAnsi="Courier New" w:cs="Courier New" w:hint="default"/>
      </w:rPr>
    </w:lvl>
    <w:lvl w:ilvl="5" w:tplc="08090005" w:tentative="1">
      <w:start w:val="1"/>
      <w:numFmt w:val="bullet"/>
      <w:lvlText w:val=""/>
      <w:lvlJc w:val="left"/>
      <w:pPr>
        <w:tabs>
          <w:tab w:val="num" w:pos="4730"/>
        </w:tabs>
        <w:ind w:left="4730" w:hanging="360"/>
      </w:pPr>
      <w:rPr>
        <w:rFonts w:ascii="Wingdings" w:hAnsi="Wingdings" w:hint="default"/>
      </w:rPr>
    </w:lvl>
    <w:lvl w:ilvl="6" w:tplc="08090001" w:tentative="1">
      <w:start w:val="1"/>
      <w:numFmt w:val="bullet"/>
      <w:lvlText w:val=""/>
      <w:lvlJc w:val="left"/>
      <w:pPr>
        <w:tabs>
          <w:tab w:val="num" w:pos="5450"/>
        </w:tabs>
        <w:ind w:left="5450" w:hanging="360"/>
      </w:pPr>
      <w:rPr>
        <w:rFonts w:ascii="Symbol" w:hAnsi="Symbol" w:hint="default"/>
      </w:rPr>
    </w:lvl>
    <w:lvl w:ilvl="7" w:tplc="08090003" w:tentative="1">
      <w:start w:val="1"/>
      <w:numFmt w:val="bullet"/>
      <w:lvlText w:val="o"/>
      <w:lvlJc w:val="left"/>
      <w:pPr>
        <w:tabs>
          <w:tab w:val="num" w:pos="6170"/>
        </w:tabs>
        <w:ind w:left="6170" w:hanging="360"/>
      </w:pPr>
      <w:rPr>
        <w:rFonts w:ascii="Courier New" w:hAnsi="Courier New" w:cs="Courier New" w:hint="default"/>
      </w:rPr>
    </w:lvl>
    <w:lvl w:ilvl="8" w:tplc="08090005" w:tentative="1">
      <w:start w:val="1"/>
      <w:numFmt w:val="bullet"/>
      <w:lvlText w:val=""/>
      <w:lvlJc w:val="left"/>
      <w:pPr>
        <w:tabs>
          <w:tab w:val="num" w:pos="6890"/>
        </w:tabs>
        <w:ind w:left="6890" w:hanging="360"/>
      </w:pPr>
      <w:rPr>
        <w:rFonts w:ascii="Wingdings" w:hAnsi="Wingdings" w:hint="default"/>
      </w:rPr>
    </w:lvl>
  </w:abstractNum>
  <w:abstractNum w:abstractNumId="42" w15:restartNumberingAfterBreak="0">
    <w:nsid w:val="70C4500D"/>
    <w:multiLevelType w:val="hybridMultilevel"/>
    <w:tmpl w:val="7248C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3CC3AF9"/>
    <w:multiLevelType w:val="hybridMultilevel"/>
    <w:tmpl w:val="24BA564C"/>
    <w:lvl w:ilvl="0" w:tplc="08090001">
      <w:start w:val="1"/>
      <w:numFmt w:val="bullet"/>
      <w:lvlText w:val=""/>
      <w:lvlJc w:val="left"/>
      <w:pPr>
        <w:ind w:left="360" w:hanging="360"/>
      </w:pPr>
      <w:rPr>
        <w:rFonts w:ascii="Symbol" w:hAnsi="Symbol" w:hint="default"/>
        <w:b/>
      </w:rPr>
    </w:lvl>
    <w:lvl w:ilvl="1" w:tplc="391C7506">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621278A"/>
    <w:multiLevelType w:val="hybridMultilevel"/>
    <w:tmpl w:val="1ADCB41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8535816"/>
    <w:multiLevelType w:val="hybridMultilevel"/>
    <w:tmpl w:val="E108728E"/>
    <w:lvl w:ilvl="0" w:tplc="3EBC0E92">
      <w:start w:val="1"/>
      <w:numFmt w:val="decimal"/>
      <w:lvlText w:val="%1."/>
      <w:lvlJc w:val="left"/>
      <w:pPr>
        <w:ind w:left="360" w:hanging="360"/>
      </w:pPr>
      <w:rPr>
        <w:b/>
      </w:rPr>
    </w:lvl>
    <w:lvl w:ilvl="1" w:tplc="391C7506">
      <w:numFmt w:val="bullet"/>
      <w:lvlText w:val="•"/>
      <w:lvlJc w:val="left"/>
      <w:pPr>
        <w:ind w:left="1080" w:hanging="36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7AC34B98"/>
    <w:multiLevelType w:val="hybridMultilevel"/>
    <w:tmpl w:val="CFA236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A2548E"/>
    <w:multiLevelType w:val="hybridMultilevel"/>
    <w:tmpl w:val="DCE033BA"/>
    <w:lvl w:ilvl="0" w:tplc="08090001">
      <w:start w:val="1"/>
      <w:numFmt w:val="bullet"/>
      <w:lvlText w:val=""/>
      <w:lvlJc w:val="left"/>
      <w:pPr>
        <w:ind w:left="1080" w:hanging="360"/>
      </w:pPr>
      <w:rPr>
        <w:rFonts w:ascii="Symbol" w:hAnsi="Symbol" w:hint="default"/>
      </w:rPr>
    </w:lvl>
    <w:lvl w:ilvl="1" w:tplc="F8D23C68">
      <w:numFmt w:val="bullet"/>
      <w:lvlText w:val="•"/>
      <w:lvlJc w:val="left"/>
      <w:pPr>
        <w:ind w:left="2160" w:hanging="72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ED44D90"/>
    <w:multiLevelType w:val="hybridMultilevel"/>
    <w:tmpl w:val="C6344016"/>
    <w:lvl w:ilvl="0" w:tplc="08090001">
      <w:start w:val="1"/>
      <w:numFmt w:val="bullet"/>
      <w:lvlText w:val=""/>
      <w:lvlJc w:val="left"/>
      <w:pPr>
        <w:ind w:left="1440" w:hanging="72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49530948">
    <w:abstractNumId w:val="45"/>
  </w:num>
  <w:num w:numId="2" w16cid:durableId="147595529">
    <w:abstractNumId w:val="37"/>
  </w:num>
  <w:num w:numId="3" w16cid:durableId="878594229">
    <w:abstractNumId w:val="9"/>
  </w:num>
  <w:num w:numId="4" w16cid:durableId="89547541">
    <w:abstractNumId w:val="44"/>
  </w:num>
  <w:num w:numId="5" w16cid:durableId="180356984">
    <w:abstractNumId w:val="33"/>
  </w:num>
  <w:num w:numId="6" w16cid:durableId="1929191063">
    <w:abstractNumId w:val="47"/>
  </w:num>
  <w:num w:numId="7" w16cid:durableId="1124890319">
    <w:abstractNumId w:val="7"/>
  </w:num>
  <w:num w:numId="8" w16cid:durableId="1488933137">
    <w:abstractNumId w:val="41"/>
  </w:num>
  <w:num w:numId="9" w16cid:durableId="1788113175">
    <w:abstractNumId w:val="0"/>
  </w:num>
  <w:num w:numId="10" w16cid:durableId="132985602">
    <w:abstractNumId w:val="48"/>
  </w:num>
  <w:num w:numId="11" w16cid:durableId="1361131594">
    <w:abstractNumId w:val="21"/>
  </w:num>
  <w:num w:numId="12" w16cid:durableId="266154341">
    <w:abstractNumId w:val="18"/>
  </w:num>
  <w:num w:numId="13" w16cid:durableId="457377657">
    <w:abstractNumId w:val="32"/>
  </w:num>
  <w:num w:numId="14" w16cid:durableId="468129957">
    <w:abstractNumId w:val="12"/>
  </w:num>
  <w:num w:numId="15" w16cid:durableId="1910573067">
    <w:abstractNumId w:val="28"/>
  </w:num>
  <w:num w:numId="16" w16cid:durableId="116222119">
    <w:abstractNumId w:val="17"/>
  </w:num>
  <w:num w:numId="17" w16cid:durableId="542256289">
    <w:abstractNumId w:val="1"/>
  </w:num>
  <w:num w:numId="18" w16cid:durableId="160433397">
    <w:abstractNumId w:val="38"/>
  </w:num>
  <w:num w:numId="19" w16cid:durableId="1412973267">
    <w:abstractNumId w:val="15"/>
  </w:num>
  <w:num w:numId="20" w16cid:durableId="2071035484">
    <w:abstractNumId w:val="34"/>
  </w:num>
  <w:num w:numId="21" w16cid:durableId="237206633">
    <w:abstractNumId w:val="46"/>
  </w:num>
  <w:num w:numId="22" w16cid:durableId="1827819847">
    <w:abstractNumId w:val="5"/>
  </w:num>
  <w:num w:numId="23" w16cid:durableId="1605502975">
    <w:abstractNumId w:val="35"/>
  </w:num>
  <w:num w:numId="24" w16cid:durableId="340859782">
    <w:abstractNumId w:val="24"/>
  </w:num>
  <w:num w:numId="25" w16cid:durableId="1228761296">
    <w:abstractNumId w:val="8"/>
  </w:num>
  <w:num w:numId="26" w16cid:durableId="1152135432">
    <w:abstractNumId w:val="16"/>
  </w:num>
  <w:num w:numId="27" w16cid:durableId="1566255033">
    <w:abstractNumId w:val="25"/>
  </w:num>
  <w:num w:numId="28" w16cid:durableId="1656835211">
    <w:abstractNumId w:val="42"/>
  </w:num>
  <w:num w:numId="29" w16cid:durableId="452867934">
    <w:abstractNumId w:val="26"/>
  </w:num>
  <w:num w:numId="30" w16cid:durableId="1921600504">
    <w:abstractNumId w:val="29"/>
  </w:num>
  <w:num w:numId="31" w16cid:durableId="1391230436">
    <w:abstractNumId w:val="40"/>
  </w:num>
  <w:num w:numId="32" w16cid:durableId="492842018">
    <w:abstractNumId w:val="19"/>
  </w:num>
  <w:num w:numId="33" w16cid:durableId="598485959">
    <w:abstractNumId w:val="36"/>
  </w:num>
  <w:num w:numId="34" w16cid:durableId="1057582899">
    <w:abstractNumId w:val="23"/>
  </w:num>
  <w:num w:numId="35" w16cid:durableId="379011887">
    <w:abstractNumId w:val="39"/>
  </w:num>
  <w:num w:numId="36" w16cid:durableId="863438882">
    <w:abstractNumId w:val="31"/>
  </w:num>
  <w:num w:numId="37" w16cid:durableId="881329006">
    <w:abstractNumId w:val="6"/>
  </w:num>
  <w:num w:numId="38" w16cid:durableId="265579387">
    <w:abstractNumId w:val="13"/>
  </w:num>
  <w:num w:numId="39" w16cid:durableId="880484623">
    <w:abstractNumId w:val="22"/>
  </w:num>
  <w:num w:numId="40" w16cid:durableId="1548954964">
    <w:abstractNumId w:val="2"/>
  </w:num>
  <w:num w:numId="41" w16cid:durableId="201482350">
    <w:abstractNumId w:val="30"/>
  </w:num>
  <w:num w:numId="42" w16cid:durableId="880366472">
    <w:abstractNumId w:val="14"/>
  </w:num>
  <w:num w:numId="43" w16cid:durableId="1499073370">
    <w:abstractNumId w:val="27"/>
  </w:num>
  <w:num w:numId="44" w16cid:durableId="502206434">
    <w:abstractNumId w:val="3"/>
  </w:num>
  <w:num w:numId="45" w16cid:durableId="1210609046">
    <w:abstractNumId w:val="10"/>
  </w:num>
  <w:num w:numId="46" w16cid:durableId="174274246">
    <w:abstractNumId w:val="43"/>
  </w:num>
  <w:num w:numId="47" w16cid:durableId="1998261740">
    <w:abstractNumId w:val="20"/>
  </w:num>
  <w:num w:numId="48" w16cid:durableId="273051909">
    <w:abstractNumId w:val="4"/>
  </w:num>
  <w:num w:numId="49" w16cid:durableId="1821388233">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314"/>
    <w:rsid w:val="000947C2"/>
    <w:rsid w:val="000D6E47"/>
    <w:rsid w:val="000F5195"/>
    <w:rsid w:val="000F67C1"/>
    <w:rsid w:val="00120C26"/>
    <w:rsid w:val="00154295"/>
    <w:rsid w:val="001704FD"/>
    <w:rsid w:val="001C01A5"/>
    <w:rsid w:val="001E331B"/>
    <w:rsid w:val="001E35AC"/>
    <w:rsid w:val="001E3D9F"/>
    <w:rsid w:val="001F2C10"/>
    <w:rsid w:val="00217638"/>
    <w:rsid w:val="00223E59"/>
    <w:rsid w:val="00251216"/>
    <w:rsid w:val="002715AD"/>
    <w:rsid w:val="00295131"/>
    <w:rsid w:val="002D1A45"/>
    <w:rsid w:val="003560E9"/>
    <w:rsid w:val="00397B82"/>
    <w:rsid w:val="003B6293"/>
    <w:rsid w:val="00427328"/>
    <w:rsid w:val="004C6A5A"/>
    <w:rsid w:val="004D14F5"/>
    <w:rsid w:val="004E464E"/>
    <w:rsid w:val="0051214E"/>
    <w:rsid w:val="005128CC"/>
    <w:rsid w:val="005363D3"/>
    <w:rsid w:val="0053662A"/>
    <w:rsid w:val="00594939"/>
    <w:rsid w:val="005F5E8F"/>
    <w:rsid w:val="006120D6"/>
    <w:rsid w:val="00637B66"/>
    <w:rsid w:val="006751BD"/>
    <w:rsid w:val="00686434"/>
    <w:rsid w:val="006C7019"/>
    <w:rsid w:val="0070359A"/>
    <w:rsid w:val="00705226"/>
    <w:rsid w:val="00737011"/>
    <w:rsid w:val="007D1906"/>
    <w:rsid w:val="00852843"/>
    <w:rsid w:val="008B7E37"/>
    <w:rsid w:val="008C1458"/>
    <w:rsid w:val="008C2314"/>
    <w:rsid w:val="008F0170"/>
    <w:rsid w:val="009946D3"/>
    <w:rsid w:val="009A0E2B"/>
    <w:rsid w:val="009A247A"/>
    <w:rsid w:val="00A27586"/>
    <w:rsid w:val="00A945A4"/>
    <w:rsid w:val="00AA5FB8"/>
    <w:rsid w:val="00AD3E1D"/>
    <w:rsid w:val="00AF664D"/>
    <w:rsid w:val="00AF7EA8"/>
    <w:rsid w:val="00B47754"/>
    <w:rsid w:val="00BD4196"/>
    <w:rsid w:val="00C03364"/>
    <w:rsid w:val="00C15887"/>
    <w:rsid w:val="00C644CE"/>
    <w:rsid w:val="00C66E98"/>
    <w:rsid w:val="00CC1CAC"/>
    <w:rsid w:val="00D50931"/>
    <w:rsid w:val="00D519FC"/>
    <w:rsid w:val="00D8674C"/>
    <w:rsid w:val="00D91B48"/>
    <w:rsid w:val="00E17D8A"/>
    <w:rsid w:val="00E30053"/>
    <w:rsid w:val="00E4271D"/>
    <w:rsid w:val="00E43773"/>
    <w:rsid w:val="00E47A0B"/>
    <w:rsid w:val="00EC77F0"/>
    <w:rsid w:val="00ED3097"/>
    <w:rsid w:val="00F02AF3"/>
    <w:rsid w:val="00F64063"/>
    <w:rsid w:val="00F7636A"/>
    <w:rsid w:val="00FA1923"/>
    <w:rsid w:val="00FB2687"/>
    <w:rsid w:val="00FC7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82B1F8"/>
  <w15:docId w15:val="{049C4476-4564-46C3-98D3-5C1DA2D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314"/>
  </w:style>
  <w:style w:type="paragraph" w:styleId="Footer">
    <w:name w:val="footer"/>
    <w:basedOn w:val="Normal"/>
    <w:link w:val="FooterChar"/>
    <w:uiPriority w:val="99"/>
    <w:unhideWhenUsed/>
    <w:rsid w:val="008C2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314"/>
  </w:style>
  <w:style w:type="paragraph" w:styleId="BalloonText">
    <w:name w:val="Balloon Text"/>
    <w:basedOn w:val="Normal"/>
    <w:link w:val="BalloonTextChar"/>
    <w:uiPriority w:val="99"/>
    <w:semiHidden/>
    <w:unhideWhenUsed/>
    <w:rsid w:val="008C2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314"/>
    <w:rPr>
      <w:rFonts w:ascii="Tahoma" w:hAnsi="Tahoma" w:cs="Tahoma"/>
      <w:sz w:val="16"/>
      <w:szCs w:val="16"/>
    </w:rPr>
  </w:style>
  <w:style w:type="paragraph" w:customStyle="1" w:styleId="3CBD5A742C28424DA5172AD252E32316">
    <w:name w:val="3CBD5A742C28424DA5172AD252E32316"/>
    <w:rsid w:val="008C2314"/>
    <w:rPr>
      <w:rFonts w:eastAsiaTheme="minorEastAsia"/>
      <w:lang w:val="en-US" w:eastAsia="ja-JP"/>
    </w:rPr>
  </w:style>
  <w:style w:type="paragraph" w:styleId="ListParagraph">
    <w:name w:val="List Paragraph"/>
    <w:basedOn w:val="Normal"/>
    <w:uiPriority w:val="34"/>
    <w:qFormat/>
    <w:rsid w:val="008C2314"/>
    <w:pPr>
      <w:ind w:left="720"/>
      <w:contextualSpacing/>
    </w:pPr>
  </w:style>
  <w:style w:type="table" w:styleId="TableGrid">
    <w:name w:val="Table Grid"/>
    <w:basedOn w:val="TableNormal"/>
    <w:uiPriority w:val="59"/>
    <w:rsid w:val="001C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E98"/>
    <w:rPr>
      <w:color w:val="0000FF" w:themeColor="hyperlink"/>
      <w:u w:val="single"/>
    </w:rPr>
  </w:style>
  <w:style w:type="paragraph" w:styleId="Caption">
    <w:name w:val="caption"/>
    <w:basedOn w:val="Normal"/>
    <w:next w:val="Normal"/>
    <w:qFormat/>
    <w:rsid w:val="00427328"/>
    <w:pPr>
      <w:widowControl w:val="0"/>
    </w:pPr>
    <w:rPr>
      <w:rFonts w:ascii="Calibri" w:eastAsia="SimSun" w:hAnsi="Calibri" w:cs="Times New Roman"/>
      <w:b/>
      <w:bCs/>
      <w:kern w:val="2"/>
      <w:sz w:val="20"/>
      <w:szCs w:val="20"/>
      <w:lang w:val="en-US" w:eastAsia="zh-CN"/>
    </w:rPr>
  </w:style>
  <w:style w:type="paragraph" w:styleId="Revision">
    <w:name w:val="Revision"/>
    <w:hidden/>
    <w:uiPriority w:val="99"/>
    <w:semiHidden/>
    <w:rsid w:val="005128CC"/>
    <w:pPr>
      <w:spacing w:after="0" w:line="240" w:lineRule="auto"/>
    </w:pPr>
  </w:style>
  <w:style w:type="character" w:styleId="CommentReference">
    <w:name w:val="annotation reference"/>
    <w:basedOn w:val="DefaultParagraphFont"/>
    <w:uiPriority w:val="99"/>
    <w:semiHidden/>
    <w:unhideWhenUsed/>
    <w:rsid w:val="005128CC"/>
    <w:rPr>
      <w:sz w:val="16"/>
      <w:szCs w:val="16"/>
    </w:rPr>
  </w:style>
  <w:style w:type="paragraph" w:styleId="CommentText">
    <w:name w:val="annotation text"/>
    <w:basedOn w:val="Normal"/>
    <w:link w:val="CommentTextChar"/>
    <w:uiPriority w:val="99"/>
    <w:unhideWhenUsed/>
    <w:rsid w:val="005128CC"/>
    <w:pPr>
      <w:spacing w:line="240" w:lineRule="auto"/>
    </w:pPr>
    <w:rPr>
      <w:sz w:val="20"/>
      <w:szCs w:val="20"/>
    </w:rPr>
  </w:style>
  <w:style w:type="character" w:customStyle="1" w:styleId="CommentTextChar">
    <w:name w:val="Comment Text Char"/>
    <w:basedOn w:val="DefaultParagraphFont"/>
    <w:link w:val="CommentText"/>
    <w:uiPriority w:val="99"/>
    <w:rsid w:val="005128CC"/>
    <w:rPr>
      <w:sz w:val="20"/>
      <w:szCs w:val="20"/>
    </w:rPr>
  </w:style>
  <w:style w:type="paragraph" w:styleId="CommentSubject">
    <w:name w:val="annotation subject"/>
    <w:basedOn w:val="CommentText"/>
    <w:next w:val="CommentText"/>
    <w:link w:val="CommentSubjectChar"/>
    <w:uiPriority w:val="99"/>
    <w:semiHidden/>
    <w:unhideWhenUsed/>
    <w:rsid w:val="005128CC"/>
    <w:rPr>
      <w:b/>
      <w:bCs/>
    </w:rPr>
  </w:style>
  <w:style w:type="character" w:customStyle="1" w:styleId="CommentSubjectChar">
    <w:name w:val="Comment Subject Char"/>
    <w:basedOn w:val="CommentTextChar"/>
    <w:link w:val="CommentSubject"/>
    <w:uiPriority w:val="99"/>
    <w:semiHidden/>
    <w:rsid w:val="005128CC"/>
    <w:rPr>
      <w:b/>
      <w:bCs/>
      <w:sz w:val="20"/>
      <w:szCs w:val="20"/>
    </w:rPr>
  </w:style>
  <w:style w:type="character" w:styleId="UnresolvedMention">
    <w:name w:val="Unresolved Mention"/>
    <w:basedOn w:val="DefaultParagraphFont"/>
    <w:uiPriority w:val="99"/>
    <w:semiHidden/>
    <w:unhideWhenUsed/>
    <w:rsid w:val="001F2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ice.org.uk/CG26"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ce.org.uk/guidance/cg159" TargetMode="External"/><Relationship Id="rId17" Type="http://schemas.openxmlformats.org/officeDocument/2006/relationships/hyperlink" Target="https://www.wiley.com/en-gb/The+Frith+Prescribing+Guidelines+for+People+with+Intellectual+Disability%2C+3rd+Edition-p-9781118897201" TargetMode="External"/><Relationship Id="rId2" Type="http://schemas.openxmlformats.org/officeDocument/2006/relationships/numbering" Target="numbering.xml"/><Relationship Id="rId16" Type="http://schemas.openxmlformats.org/officeDocument/2006/relationships/hyperlink" Target="http://www.medic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CG31" TargetMode="External"/><Relationship Id="rId5" Type="http://schemas.openxmlformats.org/officeDocument/2006/relationships/webSettings" Target="webSettings.xml"/><Relationship Id="rId15" Type="http://schemas.openxmlformats.org/officeDocument/2006/relationships/hyperlink" Target="http://www.bnf.org" TargetMode="External"/><Relationship Id="rId10" Type="http://schemas.openxmlformats.org/officeDocument/2006/relationships/hyperlink" Target="http://www.nice.org.uk/guidance/CG11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ice.org.uk/guidance/ng215" TargetMode="External"/><Relationship Id="rId14" Type="http://schemas.openxmlformats.org/officeDocument/2006/relationships/hyperlink" Target="http://www.bap.org.uk/pdfs/Anxiety_Disorder_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0811-097A-410F-A4C6-62334650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Rotherham Doncaster &amp; South Humber NHS Trust</Company>
  <LinksUpToDate>false</LinksUpToDate>
  <CharactersWithSpaces>21145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REVIEWED JANUARY 2023                      DUE FOR REVIEW JULY 2025</dc:creator>
  <cp:lastModifiedBy>FINNEGAN, Emma (ROTHERHAM DONCASTER AND SOUTH HUMBER NHS FOUNDATION TRUST)</cp:lastModifiedBy>
  <cp:revision>4</cp:revision>
  <cp:lastPrinted>2013-03-26T13:25:00Z</cp:lastPrinted>
  <dcterms:created xsi:type="dcterms:W3CDTF">2023-04-28T08:39:00Z</dcterms:created>
  <dcterms:modified xsi:type="dcterms:W3CDTF">2023-04-28T12:03:00Z</dcterms:modified>
</cp:coreProperties>
</file>