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1306C" w14:textId="72D9295E" w:rsidR="000A02DD" w:rsidRPr="000A02DD" w:rsidRDefault="000A02DD" w:rsidP="00B733A6">
      <w:pPr>
        <w:rPr>
          <w:b/>
          <w:bCs/>
        </w:rPr>
      </w:pPr>
      <w:r w:rsidRPr="000A02DD">
        <w:rPr>
          <w:b/>
          <w:bCs/>
        </w:rPr>
        <w:t>Patient Flow Escalation Framework</w:t>
      </w:r>
    </w:p>
    <w:p w14:paraId="38EB5BDA" w14:textId="77777777" w:rsidR="000A02DD" w:rsidRDefault="000A02DD" w:rsidP="000A02DD">
      <w:pPr>
        <w:jc w:val="center"/>
        <w:rPr>
          <w:b/>
          <w:bCs/>
          <w:sz w:val="28"/>
          <w:szCs w:val="28"/>
        </w:rPr>
      </w:pPr>
    </w:p>
    <w:p w14:paraId="382F9203" w14:textId="49CC1BF0" w:rsidR="000A02DD" w:rsidRDefault="000A02DD" w:rsidP="000A02DD">
      <w:pPr>
        <w:rPr>
          <w:b/>
          <w:bCs/>
          <w:sz w:val="28"/>
          <w:szCs w:val="28"/>
        </w:rPr>
      </w:pPr>
      <w:r w:rsidRPr="000F5021">
        <w:t xml:space="preserve">The table below summarises the minimum patient escalation actions to be taken in-hours by the Patient Flow Bed Manager or Clinical Service Manager in the following circumstances, noting that some incidents may require a combination of escalations, for example an </w:t>
      </w:r>
      <w:r w:rsidR="003A765D">
        <w:t>OOA</w:t>
      </w:r>
      <w:r w:rsidR="003A765D" w:rsidRPr="000F5021">
        <w:t xml:space="preserve"> </w:t>
      </w:r>
      <w:r w:rsidRPr="000F5021">
        <w:t>patient under the age of 18 in the section 136 suite requiring admission with no bed available. Escalations may be expedited more quickly if appropriate.</w:t>
      </w:r>
      <w:r>
        <w:t xml:space="preserve"> Patients should also be signposted to the relevant advocacy services by the professionals caring for the patient. </w:t>
      </w:r>
    </w:p>
    <w:p w14:paraId="14015270" w14:textId="77777777" w:rsidR="000A02DD" w:rsidRDefault="000A02DD" w:rsidP="000A02DD"/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1665"/>
        <w:gridCol w:w="1419"/>
        <w:gridCol w:w="1418"/>
        <w:gridCol w:w="1419"/>
        <w:gridCol w:w="1453"/>
        <w:gridCol w:w="1419"/>
        <w:gridCol w:w="1659"/>
        <w:gridCol w:w="1659"/>
        <w:gridCol w:w="1418"/>
        <w:gridCol w:w="1356"/>
      </w:tblGrid>
      <w:tr w:rsidR="002461F2" w:rsidRPr="000F5021" w14:paraId="6944DE74" w14:textId="77777777" w:rsidTr="00943702">
        <w:trPr>
          <w:tblHeader/>
        </w:trPr>
        <w:tc>
          <w:tcPr>
            <w:tcW w:w="1769" w:type="dxa"/>
            <w:shd w:val="clear" w:color="auto" w:fill="B8CCE4" w:themeFill="accent1" w:themeFillTint="66"/>
          </w:tcPr>
          <w:p w14:paraId="11C441E5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458" w:type="dxa"/>
            <w:shd w:val="clear" w:color="auto" w:fill="B8CCE4" w:themeFill="accent1" w:themeFillTint="66"/>
          </w:tcPr>
          <w:p w14:paraId="3120B24D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within Patient Flow (Head of Patient Flow)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14:paraId="4E651215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within Care Group (CGD, AMD, AND)</w:t>
            </w:r>
          </w:p>
        </w:tc>
        <w:tc>
          <w:tcPr>
            <w:tcW w:w="1459" w:type="dxa"/>
            <w:shd w:val="clear" w:color="auto" w:fill="B8CCE4" w:themeFill="accent1" w:themeFillTint="66"/>
          </w:tcPr>
          <w:p w14:paraId="16738EDE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within Central Ops (COO / Deputy COO)</w:t>
            </w:r>
          </w:p>
        </w:tc>
        <w:tc>
          <w:tcPr>
            <w:tcW w:w="1458" w:type="dxa"/>
            <w:shd w:val="clear" w:color="auto" w:fill="B8CCE4" w:themeFill="accent1" w:themeFillTint="66"/>
          </w:tcPr>
          <w:p w14:paraId="6A3C88F4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across RDaSH (Nursing and Quality and Medical Directorate)</w:t>
            </w:r>
          </w:p>
        </w:tc>
        <w:tc>
          <w:tcPr>
            <w:tcW w:w="1459" w:type="dxa"/>
            <w:shd w:val="clear" w:color="auto" w:fill="B8CCE4" w:themeFill="accent1" w:themeFillTint="66"/>
          </w:tcPr>
          <w:p w14:paraId="2F5EDC39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 xml:space="preserve">Mental Health Act Office </w:t>
            </w:r>
          </w:p>
        </w:tc>
        <w:tc>
          <w:tcPr>
            <w:tcW w:w="1459" w:type="dxa"/>
            <w:shd w:val="clear" w:color="auto" w:fill="B8CCE4" w:themeFill="accent1" w:themeFillTint="66"/>
          </w:tcPr>
          <w:p w14:paraId="6533398B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with place partner organisations (ICB / LA)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14:paraId="7933643B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 xml:space="preserve">Escalation with system partner organisations (SYB or HNY) </w:t>
            </w:r>
          </w:p>
        </w:tc>
        <w:tc>
          <w:tcPr>
            <w:tcW w:w="1456" w:type="dxa"/>
            <w:shd w:val="clear" w:color="auto" w:fill="B8CCE4" w:themeFill="accent1" w:themeFillTint="66"/>
          </w:tcPr>
          <w:p w14:paraId="43992A5D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to NHSE/I (ICS lead)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14:paraId="65FB003C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Escalation to CQC (Nursing and Quality to action)</w:t>
            </w:r>
          </w:p>
        </w:tc>
      </w:tr>
      <w:tr w:rsidR="002461F2" w:rsidRPr="000F5021" w14:paraId="690D8EC7" w14:textId="77777777" w:rsidTr="00E92BE0">
        <w:tc>
          <w:tcPr>
            <w:tcW w:w="1769" w:type="dxa"/>
            <w:shd w:val="clear" w:color="auto" w:fill="FFFFFF" w:themeFill="background1"/>
          </w:tcPr>
          <w:p w14:paraId="1216EE1F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Out of area patient in RDaSH awaiting assessment in the section 136 suite</w:t>
            </w:r>
          </w:p>
        </w:tc>
        <w:tc>
          <w:tcPr>
            <w:tcW w:w="1458" w:type="dxa"/>
            <w:shd w:val="clear" w:color="auto" w:fill="FFFFFF" w:themeFill="background1"/>
          </w:tcPr>
          <w:p w14:paraId="14B9D6E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7" w:type="dxa"/>
            <w:shd w:val="clear" w:color="auto" w:fill="FFFFFF" w:themeFill="background1"/>
          </w:tcPr>
          <w:p w14:paraId="38764C3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If the patient requires admission and a bed is not immediately available with the home provider</w:t>
            </w:r>
          </w:p>
        </w:tc>
        <w:tc>
          <w:tcPr>
            <w:tcW w:w="1459" w:type="dxa"/>
            <w:shd w:val="clear" w:color="auto" w:fill="FFFFFF" w:themeFill="background1"/>
          </w:tcPr>
          <w:p w14:paraId="2D577E5A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If the patient requires admission and a bed is not immediately available with the home provider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1097136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0ECFD539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47BD861A" w14:textId="7FD1F957" w:rsidR="00E92BE0" w:rsidRPr="003A765D" w:rsidRDefault="00E92BE0" w:rsidP="00E92BE0">
            <w:pPr>
              <w:rPr>
                <w:rFonts w:ascii="Arial" w:hAnsi="Arial" w:cs="Arial"/>
              </w:rPr>
            </w:pPr>
            <w:r w:rsidRPr="003A765D">
              <w:rPr>
                <w:rFonts w:ascii="Arial" w:hAnsi="Arial" w:cs="Arial"/>
              </w:rPr>
              <w:t>The ICB if the patient requires a bed and the named provider advises they have no bed available</w:t>
            </w:r>
          </w:p>
          <w:p w14:paraId="5633A2C7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</w:tcPr>
          <w:p w14:paraId="15F8998B" w14:textId="365E78D2" w:rsidR="000A02DD" w:rsidRPr="000F5021" w:rsidRDefault="00E92BE0" w:rsidP="00943702">
            <w:pPr>
              <w:rPr>
                <w:rFonts w:ascii="Arial" w:hAnsi="Arial" w:cs="Arial"/>
              </w:rPr>
            </w:pPr>
            <w:r w:rsidRPr="00E92BE0">
              <w:rPr>
                <w:rFonts w:ascii="Arial" w:hAnsi="Arial" w:cs="Arial"/>
              </w:rPr>
              <w:t>The Bed Management team for the patient’s named ICB is to be notified immediately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7D271686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5F981940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2461F2" w:rsidRPr="000F5021" w14:paraId="7AAD99BC" w14:textId="77777777" w:rsidTr="00943702">
        <w:tc>
          <w:tcPr>
            <w:tcW w:w="1769" w:type="dxa"/>
          </w:tcPr>
          <w:p w14:paraId="482B6306" w14:textId="601699A9" w:rsidR="000A02DD" w:rsidRPr="000F5021" w:rsidRDefault="00E92BE0" w:rsidP="00943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RDaSH </w:t>
            </w:r>
            <w:r w:rsidR="000A02DD" w:rsidRPr="000F5021">
              <w:rPr>
                <w:rFonts w:ascii="Arial" w:hAnsi="Arial" w:cs="Arial"/>
                <w:b/>
                <w:bCs/>
              </w:rPr>
              <w:t>Patient detained in the 136 suite and no bed available</w:t>
            </w:r>
          </w:p>
          <w:p w14:paraId="4382CB40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</w:p>
          <w:p w14:paraId="0BBC2993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8" w:type="dxa"/>
          </w:tcPr>
          <w:p w14:paraId="4C939F47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lastRenderedPageBreak/>
              <w:t>Immediately</w:t>
            </w:r>
          </w:p>
        </w:tc>
        <w:tc>
          <w:tcPr>
            <w:tcW w:w="1457" w:type="dxa"/>
          </w:tcPr>
          <w:p w14:paraId="56524D72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9" w:type="dxa"/>
          </w:tcPr>
          <w:p w14:paraId="2E71E269" w14:textId="3B718FC4" w:rsidR="000A02DD" w:rsidRPr="000F5021" w:rsidRDefault="00E92BE0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0A02DD" w:rsidRPr="000F5021">
              <w:rPr>
                <w:rFonts w:ascii="Arial" w:hAnsi="Arial" w:cs="Arial"/>
              </w:rPr>
              <w:t>approval</w:t>
            </w:r>
            <w:r>
              <w:rPr>
                <w:rFonts w:ascii="Arial" w:hAnsi="Arial" w:cs="Arial"/>
              </w:rPr>
              <w:t xml:space="preserve"> </w:t>
            </w:r>
            <w:r w:rsidR="000A02DD" w:rsidRPr="000F5021">
              <w:rPr>
                <w:rFonts w:ascii="Arial" w:hAnsi="Arial" w:cs="Arial"/>
              </w:rPr>
              <w:t>to admit to 136 suite in lieu of bed being sought</w:t>
            </w:r>
          </w:p>
        </w:tc>
        <w:tc>
          <w:tcPr>
            <w:tcW w:w="1458" w:type="dxa"/>
            <w:shd w:val="clear" w:color="auto" w:fill="auto"/>
          </w:tcPr>
          <w:p w14:paraId="6207A15F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If not transferred out within 48 hours of admission </w:t>
            </w:r>
          </w:p>
        </w:tc>
        <w:tc>
          <w:tcPr>
            <w:tcW w:w="1459" w:type="dxa"/>
            <w:shd w:val="clear" w:color="auto" w:fill="auto"/>
          </w:tcPr>
          <w:p w14:paraId="59C6A170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When a decision is made to admit a patient to the 136 suite 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342C1D0E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</w:tcPr>
          <w:p w14:paraId="1B6373F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Within 24 hours of admission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5165527A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3719FA8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2461F2" w:rsidRPr="000F5021" w14:paraId="787B829B" w14:textId="77777777" w:rsidTr="002461F2">
        <w:tc>
          <w:tcPr>
            <w:tcW w:w="1769" w:type="dxa"/>
            <w:shd w:val="clear" w:color="auto" w:fill="FFFFFF" w:themeFill="background1"/>
          </w:tcPr>
          <w:p w14:paraId="70EFA912" w14:textId="39B434B8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 xml:space="preserve">Out of area patient admitted to RDaSH bed or </w:t>
            </w:r>
            <w:r w:rsidR="00E92BE0">
              <w:rPr>
                <w:rFonts w:ascii="Arial" w:hAnsi="Arial" w:cs="Arial"/>
                <w:b/>
                <w:bCs/>
              </w:rPr>
              <w:t xml:space="preserve">detained to </w:t>
            </w:r>
            <w:r w:rsidRPr="000F5021">
              <w:rPr>
                <w:rFonts w:ascii="Arial" w:hAnsi="Arial" w:cs="Arial"/>
                <w:b/>
                <w:bCs/>
              </w:rPr>
              <w:t>136 suite</w:t>
            </w:r>
          </w:p>
        </w:tc>
        <w:tc>
          <w:tcPr>
            <w:tcW w:w="1458" w:type="dxa"/>
            <w:shd w:val="clear" w:color="auto" w:fill="FFFFFF" w:themeFill="background1"/>
          </w:tcPr>
          <w:p w14:paraId="3536076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7" w:type="dxa"/>
            <w:shd w:val="clear" w:color="auto" w:fill="FFFFFF" w:themeFill="background1"/>
          </w:tcPr>
          <w:p w14:paraId="74C701F6" w14:textId="58DB708D" w:rsidR="000A02DD" w:rsidRPr="000F5021" w:rsidRDefault="00E92BE0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59" w:type="dxa"/>
            <w:shd w:val="clear" w:color="auto" w:fill="FFFFFF" w:themeFill="background1"/>
          </w:tcPr>
          <w:p w14:paraId="071980AD" w14:textId="77777777" w:rsidR="000A02DD" w:rsidRDefault="00E92BE0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patient has not been repatriated within 24 hours </w:t>
            </w:r>
          </w:p>
          <w:p w14:paraId="182DBB6F" w14:textId="77777777" w:rsidR="00E92BE0" w:rsidRDefault="00E92BE0" w:rsidP="00943702">
            <w:pPr>
              <w:rPr>
                <w:rFonts w:ascii="Arial" w:hAnsi="Arial" w:cs="Arial"/>
              </w:rPr>
            </w:pPr>
          </w:p>
          <w:p w14:paraId="11A32AC3" w14:textId="647A1AB7" w:rsidR="00E92BE0" w:rsidRPr="000F5021" w:rsidRDefault="00E92BE0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Immediately if a non RDaSH patient has been detained</w:t>
            </w:r>
            <w:r w:rsidR="002461F2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="002461F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136 suite 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3BAC4000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5A200C93" w14:textId="32332BB4" w:rsidR="000A02DD" w:rsidRPr="000F5021" w:rsidRDefault="002461F2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decision has been made to detain the </w:t>
            </w:r>
            <w:r w:rsidRPr="002461F2">
              <w:rPr>
                <w:rFonts w:ascii="Arial" w:hAnsi="Arial" w:cs="Arial"/>
              </w:rPr>
              <w:t>patient to the 136 suite</w:t>
            </w:r>
          </w:p>
        </w:tc>
        <w:tc>
          <w:tcPr>
            <w:tcW w:w="1459" w:type="dxa"/>
            <w:shd w:val="clear" w:color="auto" w:fill="FFFFFF" w:themeFill="background1"/>
          </w:tcPr>
          <w:p w14:paraId="09F9D871" w14:textId="77777777" w:rsidR="000A02DD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If </w:t>
            </w:r>
            <w:r w:rsidR="002461F2">
              <w:rPr>
                <w:rFonts w:ascii="Arial" w:hAnsi="Arial" w:cs="Arial"/>
              </w:rPr>
              <w:t xml:space="preserve">the patient is in a bed and has not been repatriated within 24 hours </w:t>
            </w:r>
          </w:p>
          <w:p w14:paraId="4C7F5F9F" w14:textId="77777777" w:rsidR="002461F2" w:rsidRDefault="002461F2" w:rsidP="00943702">
            <w:pPr>
              <w:rPr>
                <w:rFonts w:ascii="Arial" w:hAnsi="Arial" w:cs="Arial"/>
              </w:rPr>
            </w:pPr>
          </w:p>
          <w:p w14:paraId="1A8F55AC" w14:textId="0F473E13" w:rsidR="002461F2" w:rsidRPr="000F5021" w:rsidRDefault="002461F2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Immediately if a non RDaSH patient has been detained to the 136 suite and the provider is advising no bed availability </w:t>
            </w:r>
          </w:p>
        </w:tc>
        <w:tc>
          <w:tcPr>
            <w:tcW w:w="1460" w:type="dxa"/>
            <w:shd w:val="clear" w:color="auto" w:fill="FFFFFF" w:themeFill="background1"/>
          </w:tcPr>
          <w:p w14:paraId="07D65B0A" w14:textId="45290B3B" w:rsidR="000A02DD" w:rsidRPr="000F5021" w:rsidRDefault="002461F2" w:rsidP="00943702">
            <w:pPr>
              <w:rPr>
                <w:rFonts w:ascii="Arial" w:hAnsi="Arial" w:cs="Arial"/>
              </w:rPr>
            </w:pPr>
            <w:r w:rsidRPr="002461F2">
              <w:rPr>
                <w:rFonts w:ascii="Arial" w:hAnsi="Arial" w:cs="Arial"/>
              </w:rPr>
              <w:t>The Bed Management team for the patient’s named ICB is to be notified immediately</w:t>
            </w:r>
          </w:p>
        </w:tc>
        <w:tc>
          <w:tcPr>
            <w:tcW w:w="1456" w:type="dxa"/>
            <w:shd w:val="clear" w:color="auto" w:fill="FFFFFF" w:themeFill="background1"/>
          </w:tcPr>
          <w:p w14:paraId="456F40E9" w14:textId="2BDD4325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If patient has not been repatriated within </w:t>
            </w:r>
            <w:r w:rsidR="002461F2">
              <w:rPr>
                <w:rFonts w:ascii="Arial" w:hAnsi="Arial" w:cs="Arial"/>
              </w:rPr>
              <w:t xml:space="preserve">48 hours 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819FFE9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2461F2" w:rsidRPr="000F5021" w14:paraId="090EB921" w14:textId="77777777" w:rsidTr="00943702">
        <w:tc>
          <w:tcPr>
            <w:tcW w:w="1769" w:type="dxa"/>
          </w:tcPr>
          <w:p w14:paraId="354E62E7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Patient aged under 18 in RDaSH section 136 suite or bed</w:t>
            </w:r>
          </w:p>
        </w:tc>
        <w:tc>
          <w:tcPr>
            <w:tcW w:w="1458" w:type="dxa"/>
          </w:tcPr>
          <w:p w14:paraId="1B3515A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7" w:type="dxa"/>
          </w:tcPr>
          <w:p w14:paraId="5E8C8A6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9" w:type="dxa"/>
          </w:tcPr>
          <w:p w14:paraId="50A73A82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8" w:type="dxa"/>
          </w:tcPr>
          <w:p w14:paraId="3A7C6EEF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MHA office will inform next working day </w:t>
            </w:r>
          </w:p>
        </w:tc>
        <w:tc>
          <w:tcPr>
            <w:tcW w:w="1459" w:type="dxa"/>
          </w:tcPr>
          <w:p w14:paraId="52B89B4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 via email (from patient flow team)</w:t>
            </w:r>
          </w:p>
        </w:tc>
        <w:tc>
          <w:tcPr>
            <w:tcW w:w="1459" w:type="dxa"/>
          </w:tcPr>
          <w:p w14:paraId="0F2974BF" w14:textId="09945420" w:rsidR="000A02DD" w:rsidRPr="000F5021" w:rsidRDefault="002461F2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ICB</w:t>
            </w:r>
            <w:r w:rsidR="000A02DD" w:rsidRPr="000F5021">
              <w:rPr>
                <w:rFonts w:ascii="Arial" w:hAnsi="Arial" w:cs="Arial"/>
              </w:rPr>
              <w:t xml:space="preserve"> informed immediately if patient is under 16 (by the patient flow team)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14:paraId="44706C39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7F4A053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Within 48 hours</w:t>
            </w:r>
          </w:p>
        </w:tc>
        <w:tc>
          <w:tcPr>
            <w:tcW w:w="1450" w:type="dxa"/>
          </w:tcPr>
          <w:p w14:paraId="6EB74CEB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If patient is admitted to a bed, within 72 hours maximum (by the MHA office)</w:t>
            </w:r>
          </w:p>
        </w:tc>
      </w:tr>
      <w:tr w:rsidR="002461F2" w:rsidRPr="000F5021" w14:paraId="7CC3DC67" w14:textId="77777777" w:rsidTr="00943702">
        <w:tc>
          <w:tcPr>
            <w:tcW w:w="1769" w:type="dxa"/>
          </w:tcPr>
          <w:p w14:paraId="14E0CDE1" w14:textId="77777777" w:rsidR="000A02DD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lastRenderedPageBreak/>
              <w:t xml:space="preserve">Inappropriate admission –patient’s primary needs are related to a learning disability, autism or other condition </w:t>
            </w:r>
          </w:p>
          <w:p w14:paraId="0F46EEA2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8" w:type="dxa"/>
          </w:tcPr>
          <w:p w14:paraId="2F3D71A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Before admission </w:t>
            </w:r>
          </w:p>
        </w:tc>
        <w:tc>
          <w:tcPr>
            <w:tcW w:w="1457" w:type="dxa"/>
          </w:tcPr>
          <w:p w14:paraId="633ED5D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Before admission </w:t>
            </w:r>
          </w:p>
        </w:tc>
        <w:tc>
          <w:tcPr>
            <w:tcW w:w="1459" w:type="dxa"/>
          </w:tcPr>
          <w:p w14:paraId="7C9F34DB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8" w:type="dxa"/>
          </w:tcPr>
          <w:p w14:paraId="02BBB0E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If patient is not transferred within 48 hours</w:t>
            </w:r>
          </w:p>
        </w:tc>
        <w:tc>
          <w:tcPr>
            <w:tcW w:w="1459" w:type="dxa"/>
          </w:tcPr>
          <w:p w14:paraId="757DF411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MHA Manager for advice around legal frameworks</w:t>
            </w:r>
          </w:p>
        </w:tc>
        <w:tc>
          <w:tcPr>
            <w:tcW w:w="1459" w:type="dxa"/>
          </w:tcPr>
          <w:p w14:paraId="7C0916D4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60" w:type="dxa"/>
          </w:tcPr>
          <w:p w14:paraId="03BDAE18" w14:textId="25FA6FBA" w:rsidR="000A02DD" w:rsidRPr="000F5021" w:rsidRDefault="002461F2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Immediately and </w:t>
            </w:r>
            <w:r w:rsidR="000A02DD" w:rsidRPr="000F5021">
              <w:rPr>
                <w:rFonts w:ascii="Arial" w:hAnsi="Arial" w:cs="Arial"/>
              </w:rPr>
              <w:t>twice weekly meetings</w:t>
            </w:r>
            <w:r>
              <w:rPr>
                <w:rFonts w:ascii="Arial" w:hAnsi="Arial" w:cs="Arial"/>
              </w:rPr>
              <w:t xml:space="preserve"> escalation meetings to be initiated </w:t>
            </w:r>
            <w:r w:rsidR="000A02DD" w:rsidRPr="000F50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6" w:type="dxa"/>
          </w:tcPr>
          <w:p w14:paraId="1ECC7190" w14:textId="59D8E99E" w:rsidR="000A02DD" w:rsidRPr="000F5021" w:rsidRDefault="002461F2" w:rsidP="00943702">
            <w:pPr>
              <w:rPr>
                <w:rFonts w:ascii="Arial" w:hAnsi="Arial" w:cs="Arial"/>
              </w:rPr>
            </w:pPr>
            <w:r w:rsidRPr="002461F2">
              <w:rPr>
                <w:rFonts w:ascii="Arial" w:hAnsi="Arial" w:cs="Arial"/>
              </w:rPr>
              <w:t xml:space="preserve">Immediately and twice weekly meetings escalation meetings to be initiated  </w:t>
            </w:r>
          </w:p>
        </w:tc>
        <w:tc>
          <w:tcPr>
            <w:tcW w:w="1450" w:type="dxa"/>
          </w:tcPr>
          <w:p w14:paraId="242D668C" w14:textId="3DBB2D59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If admission lasts for than </w:t>
            </w:r>
            <w:r w:rsidR="002461F2">
              <w:rPr>
                <w:rFonts w:ascii="Arial" w:hAnsi="Arial" w:cs="Arial"/>
              </w:rPr>
              <w:t xml:space="preserve">72 hours </w:t>
            </w:r>
          </w:p>
        </w:tc>
      </w:tr>
      <w:tr w:rsidR="002461F2" w:rsidRPr="000F5021" w14:paraId="17F0003F" w14:textId="77777777" w:rsidTr="002461F2">
        <w:tc>
          <w:tcPr>
            <w:tcW w:w="1769" w:type="dxa"/>
          </w:tcPr>
          <w:p w14:paraId="00EB4991" w14:textId="3EFD2C2A" w:rsidR="000A02DD" w:rsidRPr="000F5021" w:rsidRDefault="002461F2" w:rsidP="00943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0A02DD" w:rsidRPr="000F5021">
              <w:rPr>
                <w:rFonts w:ascii="Arial" w:hAnsi="Arial" w:cs="Arial"/>
                <w:b/>
                <w:bCs/>
              </w:rPr>
              <w:t xml:space="preserve">o bed availability within RDaSH </w:t>
            </w:r>
          </w:p>
        </w:tc>
        <w:tc>
          <w:tcPr>
            <w:tcW w:w="1458" w:type="dxa"/>
          </w:tcPr>
          <w:p w14:paraId="5D71F3C0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57" w:type="dxa"/>
          </w:tcPr>
          <w:p w14:paraId="77A0EFCE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59" w:type="dxa"/>
          </w:tcPr>
          <w:p w14:paraId="741C9C1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089CC15A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00B2469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524A6E09" w14:textId="147514D5" w:rsidR="000A02DD" w:rsidRPr="000F5021" w:rsidRDefault="002461F2" w:rsidP="00943702">
            <w:pPr>
              <w:rPr>
                <w:rFonts w:ascii="Arial" w:hAnsi="Arial" w:cs="Arial"/>
              </w:rPr>
            </w:pPr>
            <w:r w:rsidRPr="002461F2">
              <w:rPr>
                <w:rFonts w:ascii="Arial" w:hAnsi="Arial" w:cs="Arial"/>
              </w:rPr>
              <w:t>Immediately if no Section 140 provision available</w:t>
            </w:r>
          </w:p>
        </w:tc>
        <w:tc>
          <w:tcPr>
            <w:tcW w:w="1460" w:type="dxa"/>
          </w:tcPr>
          <w:p w14:paraId="0C6C3A0C" w14:textId="4243804F" w:rsidR="000A02DD" w:rsidRPr="000F5021" w:rsidRDefault="002461F2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Immediately if no Section 140 provision available 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2EFB971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04DFC75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2461F2" w:rsidRPr="000F5021" w14:paraId="56E2BC96" w14:textId="77777777" w:rsidTr="00943702">
        <w:tc>
          <w:tcPr>
            <w:tcW w:w="1769" w:type="dxa"/>
          </w:tcPr>
          <w:p w14:paraId="6D4632F9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Section 136 suite closure</w:t>
            </w:r>
          </w:p>
        </w:tc>
        <w:tc>
          <w:tcPr>
            <w:tcW w:w="1458" w:type="dxa"/>
          </w:tcPr>
          <w:p w14:paraId="391E5C3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If decision is made to close</w:t>
            </w:r>
          </w:p>
        </w:tc>
        <w:tc>
          <w:tcPr>
            <w:tcW w:w="1457" w:type="dxa"/>
          </w:tcPr>
          <w:p w14:paraId="5CC56BA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Request to close needs care group approval in the first instance </w:t>
            </w:r>
          </w:p>
        </w:tc>
        <w:tc>
          <w:tcPr>
            <w:tcW w:w="1459" w:type="dxa"/>
          </w:tcPr>
          <w:p w14:paraId="1CBF90D4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Request to close needs COO / Gold approval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7C23E077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07673211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Inform if closure is agreed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1CF85AF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EC696AF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Inform if closure is agreed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238FB96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5BC95C31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2461F2" w:rsidRPr="000F5021" w14:paraId="7EDC4849" w14:textId="77777777" w:rsidTr="00943702">
        <w:tc>
          <w:tcPr>
            <w:tcW w:w="1769" w:type="dxa"/>
          </w:tcPr>
          <w:p w14:paraId="536998D6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t>Ward Closure</w:t>
            </w:r>
          </w:p>
        </w:tc>
        <w:tc>
          <w:tcPr>
            <w:tcW w:w="1458" w:type="dxa"/>
          </w:tcPr>
          <w:p w14:paraId="15193B7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If Care Group approve closure, Care Group </w:t>
            </w:r>
            <w:r w:rsidRPr="000F5021">
              <w:rPr>
                <w:rFonts w:ascii="Arial" w:hAnsi="Arial" w:cs="Arial"/>
              </w:rPr>
              <w:lastRenderedPageBreak/>
              <w:t>Senior Leadership Team to contact Head of Patient Flow for impact report</w:t>
            </w:r>
          </w:p>
        </w:tc>
        <w:tc>
          <w:tcPr>
            <w:tcW w:w="1457" w:type="dxa"/>
          </w:tcPr>
          <w:p w14:paraId="040BD38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lastRenderedPageBreak/>
              <w:t xml:space="preserve">Request to close needs Care Group approval in </w:t>
            </w:r>
            <w:r w:rsidRPr="000F5021">
              <w:rPr>
                <w:rFonts w:ascii="Arial" w:hAnsi="Arial" w:cs="Arial"/>
              </w:rPr>
              <w:lastRenderedPageBreak/>
              <w:t>the first instance</w:t>
            </w:r>
          </w:p>
        </w:tc>
        <w:tc>
          <w:tcPr>
            <w:tcW w:w="1459" w:type="dxa"/>
          </w:tcPr>
          <w:p w14:paraId="54BF70FC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lastRenderedPageBreak/>
              <w:t>Request to close needs COO/Gold approval</w:t>
            </w:r>
          </w:p>
        </w:tc>
        <w:tc>
          <w:tcPr>
            <w:tcW w:w="1458" w:type="dxa"/>
          </w:tcPr>
          <w:p w14:paraId="4F5E4631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59" w:type="dxa"/>
            <w:shd w:val="clear" w:color="auto" w:fill="FFFFFF" w:themeFill="background1"/>
          </w:tcPr>
          <w:p w14:paraId="6EB7AD0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Inform if closure is agreed</w:t>
            </w:r>
          </w:p>
        </w:tc>
        <w:tc>
          <w:tcPr>
            <w:tcW w:w="1459" w:type="dxa"/>
            <w:shd w:val="clear" w:color="auto" w:fill="FFFFFF" w:themeFill="background1"/>
          </w:tcPr>
          <w:p w14:paraId="1776B11A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Inform if closure is agreed</w:t>
            </w:r>
          </w:p>
        </w:tc>
        <w:tc>
          <w:tcPr>
            <w:tcW w:w="1460" w:type="dxa"/>
            <w:shd w:val="clear" w:color="auto" w:fill="FFFFFF" w:themeFill="background1"/>
          </w:tcPr>
          <w:p w14:paraId="3F750325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Inform if closure is agreed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07066DF9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1CB5A08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14885" w:type="dxa"/>
        <w:tblInd w:w="-289" w:type="dxa"/>
        <w:tblLook w:val="04A0" w:firstRow="1" w:lastRow="0" w:firstColumn="1" w:lastColumn="0" w:noHBand="0" w:noVBand="1"/>
      </w:tblPr>
      <w:tblGrid>
        <w:gridCol w:w="1679"/>
        <w:gridCol w:w="1424"/>
        <w:gridCol w:w="1423"/>
        <w:gridCol w:w="1424"/>
        <w:gridCol w:w="1454"/>
        <w:gridCol w:w="1424"/>
        <w:gridCol w:w="1659"/>
        <w:gridCol w:w="1659"/>
        <w:gridCol w:w="1371"/>
        <w:gridCol w:w="1368"/>
      </w:tblGrid>
      <w:tr w:rsidR="00D91CC5" w14:paraId="5FDEB600" w14:textId="77777777" w:rsidTr="00D91CC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7D53" w14:textId="77777777" w:rsidR="00D91CC5" w:rsidRPr="00E92BE0" w:rsidRDefault="00D91CC5">
            <w:pPr>
              <w:rPr>
                <w:rFonts w:ascii="Arial" w:eastAsia="Calibri" w:hAnsi="Arial" w:cs="Arial"/>
                <w:b/>
                <w:bCs/>
              </w:rPr>
            </w:pPr>
            <w:r w:rsidRPr="00E92BE0">
              <w:rPr>
                <w:rFonts w:ascii="Arial" w:eastAsia="Calibri" w:hAnsi="Arial" w:cs="Arial"/>
                <w:b/>
                <w:bCs/>
              </w:rPr>
              <w:t xml:space="preserve">Patient in A&amp;E requires a mental health bed but no bed available </w:t>
            </w:r>
            <w:r w:rsidRPr="00E92BE0">
              <w:rPr>
                <w:rFonts w:ascii="Arial" w:eastAsia="Calibri" w:hAnsi="Arial" w:cs="Arial"/>
              </w:rPr>
              <w:t>(</w:t>
            </w:r>
            <w:proofErr w:type="spellStart"/>
            <w:r w:rsidRPr="00E92BE0">
              <w:rPr>
                <w:rFonts w:ascii="Arial" w:eastAsia="Calibri" w:hAnsi="Arial" w:cs="Arial"/>
                <w:sz w:val="18"/>
                <w:szCs w:val="18"/>
              </w:rPr>
              <w:t>RDasH</w:t>
            </w:r>
            <w:proofErr w:type="spellEnd"/>
            <w:r w:rsidRPr="00E92BE0">
              <w:rPr>
                <w:rFonts w:ascii="Arial" w:eastAsia="Calibri" w:hAnsi="Arial" w:cs="Arial"/>
                <w:sz w:val="18"/>
                <w:szCs w:val="18"/>
              </w:rPr>
              <w:t xml:space="preserve"> patient or a patient from another Trust</w:t>
            </w:r>
            <w:r w:rsidRPr="00E92BE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8FB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>Immediately</w:t>
            </w:r>
          </w:p>
          <w:p w14:paraId="675B8199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</w:p>
          <w:p w14:paraId="3C87B3B5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 xml:space="preserve">If the patient does not have a GP within the RDaSH ICB this will also be escalated to the relevant Provider Trust by the Patient Flow Team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A86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>Immediately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35E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>If the patient has been waiting 12 hours and has therefore breached.</w:t>
            </w:r>
          </w:p>
          <w:p w14:paraId="331BBB13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</w:p>
          <w:p w14:paraId="49E49E25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 xml:space="preserve">An incident report will also be completed by the RDaSH Patient Flow Team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DE7" w14:textId="77777777" w:rsidR="00D91CC5" w:rsidRPr="00E92BE0" w:rsidRDefault="00D91CC5">
            <w:pPr>
              <w:rPr>
                <w:rFonts w:ascii="Arial" w:eastAsia="Calibri" w:hAnsi="Arial" w:cs="Arial"/>
              </w:rPr>
            </w:pPr>
            <w:r w:rsidRPr="00E92BE0">
              <w:rPr>
                <w:rFonts w:ascii="Arial" w:eastAsia="Calibri" w:hAnsi="Arial" w:cs="Arial"/>
              </w:rPr>
              <w:t>If the patient has been waiting 12 hours and has therefore breached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4EF64D" w14:textId="77777777" w:rsidR="00D91CC5" w:rsidRDefault="00D91CC5">
            <w:pPr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A93" w14:textId="77777777" w:rsidR="00D91CC5" w:rsidRDefault="00D91CC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Immediate notification to the ICB via the SCC if the patient is from another Provider Trust outside RDaSH</w:t>
            </w:r>
          </w:p>
          <w:p w14:paraId="19A76B1B" w14:textId="77777777" w:rsidR="00D91CC5" w:rsidRDefault="00D91CC5">
            <w:pPr>
              <w:rPr>
                <w:rFonts w:ascii="Arial" w:eastAsia="Calibri" w:hAnsi="Arial" w:cs="Arial"/>
              </w:rPr>
            </w:pPr>
          </w:p>
          <w:p w14:paraId="46C4AE78" w14:textId="77777777" w:rsidR="00D91CC5" w:rsidRDefault="00D91CC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the patient is an RDaSH patient and has been waiting 12 hours for a bed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660C43" w14:textId="77777777" w:rsidR="00D91CC5" w:rsidRDefault="00D91CC5">
            <w:pPr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F11193" w14:textId="77777777" w:rsidR="00D91CC5" w:rsidRDefault="00D91CC5">
            <w:pPr>
              <w:rPr>
                <w:rFonts w:ascii="Arial" w:eastAsia="Calibri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3C06D3" w14:textId="77777777" w:rsidR="00D91CC5" w:rsidRDefault="00D91CC5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688"/>
        <w:gridCol w:w="1459"/>
        <w:gridCol w:w="1460"/>
        <w:gridCol w:w="1456"/>
        <w:gridCol w:w="1450"/>
      </w:tblGrid>
      <w:tr w:rsidR="000A02DD" w:rsidRPr="000F5021" w14:paraId="7329A45D" w14:textId="77777777" w:rsidTr="002461F2">
        <w:tc>
          <w:tcPr>
            <w:tcW w:w="1702" w:type="dxa"/>
          </w:tcPr>
          <w:p w14:paraId="31F518D0" w14:textId="77777777" w:rsidR="000A02DD" w:rsidRPr="000F5021" w:rsidRDefault="000A02DD" w:rsidP="00943702">
            <w:pPr>
              <w:rPr>
                <w:rFonts w:ascii="Arial" w:hAnsi="Arial" w:cs="Arial"/>
                <w:b/>
                <w:bCs/>
              </w:rPr>
            </w:pPr>
            <w:r w:rsidRPr="000F5021">
              <w:rPr>
                <w:rFonts w:ascii="Arial" w:hAnsi="Arial" w:cs="Arial"/>
                <w:b/>
                <w:bCs/>
              </w:rPr>
              <w:lastRenderedPageBreak/>
              <w:t xml:space="preserve">Person in police custody requires a mental health bed but no bed available </w:t>
            </w:r>
          </w:p>
        </w:tc>
        <w:tc>
          <w:tcPr>
            <w:tcW w:w="1417" w:type="dxa"/>
          </w:tcPr>
          <w:p w14:paraId="22C5A50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18" w:type="dxa"/>
          </w:tcPr>
          <w:p w14:paraId="1359B420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</w:t>
            </w:r>
          </w:p>
        </w:tc>
        <w:tc>
          <w:tcPr>
            <w:tcW w:w="1417" w:type="dxa"/>
          </w:tcPr>
          <w:p w14:paraId="735FDF47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 xml:space="preserve">Immediately due to the potential for PACE clock 24-hour breach </w:t>
            </w:r>
          </w:p>
        </w:tc>
        <w:tc>
          <w:tcPr>
            <w:tcW w:w="1418" w:type="dxa"/>
          </w:tcPr>
          <w:p w14:paraId="400594B7" w14:textId="77777777" w:rsidR="000A02DD" w:rsidRPr="000F5021" w:rsidRDefault="000A02DD" w:rsidP="00943702">
            <w:pPr>
              <w:rPr>
                <w:rFonts w:ascii="Arial" w:hAnsi="Arial" w:cs="Arial"/>
              </w:rPr>
            </w:pPr>
            <w:r w:rsidRPr="000F5021">
              <w:rPr>
                <w:rFonts w:ascii="Arial" w:hAnsi="Arial" w:cs="Arial"/>
              </w:rPr>
              <w:t>Immediately due to the potential for PACE clock 24-hour breach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3126F5F1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3EB5E0A3" w14:textId="280D94E2" w:rsidR="000A02DD" w:rsidRPr="000F5021" w:rsidRDefault="002461F2" w:rsidP="00943702">
            <w:pPr>
              <w:rPr>
                <w:rFonts w:ascii="Arial" w:hAnsi="Arial" w:cs="Arial"/>
              </w:rPr>
            </w:pPr>
            <w:r w:rsidRPr="002461F2">
              <w:rPr>
                <w:rFonts w:ascii="Arial" w:hAnsi="Arial" w:cs="Arial"/>
              </w:rPr>
              <w:t>Immediate notification to the ICB if the patient is from another Provider Trust outside RDaSH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14:paraId="6277AEFF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BFBFBF" w:themeFill="background1" w:themeFillShade="BF"/>
          </w:tcPr>
          <w:p w14:paraId="2481480D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14:paraId="0EB5E548" w14:textId="77777777" w:rsidR="000A02DD" w:rsidRPr="000F5021" w:rsidRDefault="000A02DD" w:rsidP="00943702">
            <w:pPr>
              <w:rPr>
                <w:rFonts w:ascii="Arial" w:hAnsi="Arial" w:cs="Arial"/>
              </w:rPr>
            </w:pPr>
          </w:p>
        </w:tc>
      </w:tr>
      <w:tr w:rsidR="000A02DD" w:rsidRPr="000F5021" w14:paraId="622FD50F" w14:textId="77777777" w:rsidTr="002461F2">
        <w:tc>
          <w:tcPr>
            <w:tcW w:w="1702" w:type="dxa"/>
          </w:tcPr>
          <w:p w14:paraId="1F93803E" w14:textId="77777777" w:rsidR="000A02DD" w:rsidRPr="00CE0792" w:rsidRDefault="000A02DD" w:rsidP="00943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Patient identified as clinically ready for discharge but delayed </w:t>
            </w:r>
          </w:p>
        </w:tc>
        <w:tc>
          <w:tcPr>
            <w:tcW w:w="1417" w:type="dxa"/>
          </w:tcPr>
          <w:p w14:paraId="78AB991F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Immediately </w:t>
            </w:r>
          </w:p>
        </w:tc>
        <w:tc>
          <w:tcPr>
            <w:tcW w:w="1418" w:type="dxa"/>
          </w:tcPr>
          <w:p w14:paraId="6A1E28DB" w14:textId="77777777" w:rsidR="000A02DD" w:rsidRDefault="000A02DD" w:rsidP="00943702">
            <w:pPr>
              <w:rPr>
                <w:rFonts w:ascii="Arial" w:hAnsi="Arial" w:cs="Arial"/>
              </w:rPr>
            </w:pPr>
            <w:r w:rsidRPr="00CE0792">
              <w:rPr>
                <w:rFonts w:ascii="Arial" w:hAnsi="Arial" w:cs="Arial"/>
              </w:rPr>
              <w:t>Immediately</w:t>
            </w:r>
          </w:p>
          <w:p w14:paraId="2212374C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added to the risk register after 30 days </w:t>
            </w:r>
          </w:p>
        </w:tc>
        <w:tc>
          <w:tcPr>
            <w:tcW w:w="1417" w:type="dxa"/>
          </w:tcPr>
          <w:p w14:paraId="2FE01B01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7 days </w:t>
            </w:r>
          </w:p>
        </w:tc>
        <w:tc>
          <w:tcPr>
            <w:tcW w:w="1418" w:type="dxa"/>
          </w:tcPr>
          <w:p w14:paraId="4378B846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 w:rsidRPr="00CE0792">
              <w:rPr>
                <w:rFonts w:ascii="Arial" w:hAnsi="Arial" w:cs="Arial"/>
              </w:rPr>
              <w:t xml:space="preserve">After 14 days 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09423724" w14:textId="77777777" w:rsidR="000A02DD" w:rsidRPr="000F5021" w:rsidRDefault="000A02DD" w:rsidP="00943702"/>
        </w:tc>
        <w:tc>
          <w:tcPr>
            <w:tcW w:w="1459" w:type="dxa"/>
            <w:shd w:val="clear" w:color="auto" w:fill="auto"/>
          </w:tcPr>
          <w:p w14:paraId="4C4A0E29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 w:rsidRPr="00CE0792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>14</w:t>
            </w:r>
            <w:r w:rsidRPr="00CE0792">
              <w:rPr>
                <w:rFonts w:ascii="Arial" w:hAnsi="Arial" w:cs="Arial"/>
              </w:rPr>
              <w:t xml:space="preserve"> days </w:t>
            </w:r>
          </w:p>
        </w:tc>
        <w:tc>
          <w:tcPr>
            <w:tcW w:w="1460" w:type="dxa"/>
            <w:shd w:val="clear" w:color="auto" w:fill="auto"/>
          </w:tcPr>
          <w:p w14:paraId="500E0992" w14:textId="3BCD0550" w:rsidR="000A02DD" w:rsidRPr="002461F2" w:rsidRDefault="002461F2" w:rsidP="00943702">
            <w:pPr>
              <w:rPr>
                <w:rFonts w:ascii="Arial" w:hAnsi="Arial" w:cs="Arial"/>
              </w:rPr>
            </w:pPr>
            <w:r w:rsidRPr="002461F2">
              <w:rPr>
                <w:rFonts w:ascii="Arial" w:hAnsi="Arial" w:cs="Arial"/>
              </w:rPr>
              <w:t>After 7 days</w:t>
            </w:r>
          </w:p>
        </w:tc>
        <w:tc>
          <w:tcPr>
            <w:tcW w:w="1456" w:type="dxa"/>
            <w:shd w:val="clear" w:color="auto" w:fill="auto"/>
          </w:tcPr>
          <w:p w14:paraId="4591F53D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 w:rsidRPr="00CE0792">
              <w:rPr>
                <w:rFonts w:ascii="Arial" w:hAnsi="Arial" w:cs="Arial"/>
              </w:rPr>
              <w:t>After 30 days</w:t>
            </w:r>
          </w:p>
        </w:tc>
        <w:tc>
          <w:tcPr>
            <w:tcW w:w="1450" w:type="dxa"/>
            <w:shd w:val="clear" w:color="auto" w:fill="auto"/>
          </w:tcPr>
          <w:p w14:paraId="0B79FEC7" w14:textId="77777777" w:rsidR="000A02DD" w:rsidRPr="00CE0792" w:rsidRDefault="000A02DD" w:rsidP="00943702">
            <w:pPr>
              <w:rPr>
                <w:rFonts w:ascii="Arial" w:hAnsi="Arial" w:cs="Arial"/>
              </w:rPr>
            </w:pPr>
            <w:r w:rsidRPr="00CE0792">
              <w:rPr>
                <w:rFonts w:ascii="Arial" w:hAnsi="Arial" w:cs="Arial"/>
              </w:rPr>
              <w:t xml:space="preserve">After 30 days </w:t>
            </w:r>
          </w:p>
        </w:tc>
      </w:tr>
    </w:tbl>
    <w:p w14:paraId="68ECDE7E" w14:textId="7730A7FF" w:rsidR="006D7B40" w:rsidRPr="006D7B40" w:rsidRDefault="006D7B40" w:rsidP="00F61A4D">
      <w:pPr>
        <w:rPr>
          <w:lang w:eastAsia="en-GB" w:bidi="en-US"/>
        </w:rPr>
      </w:pPr>
      <w:bookmarkStart w:id="0" w:name="_Appendix_1_RDaSH"/>
      <w:bookmarkStart w:id="1" w:name="_Hlk149810249"/>
      <w:bookmarkEnd w:id="0"/>
      <w:bookmarkEnd w:id="1"/>
    </w:p>
    <w:sectPr w:rsidR="006D7B40" w:rsidRPr="006D7B40" w:rsidSect="00F14077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EADEF" w14:textId="77777777" w:rsidR="00F14077" w:rsidRDefault="00F14077" w:rsidP="004F0B9C">
      <w:r>
        <w:separator/>
      </w:r>
    </w:p>
  </w:endnote>
  <w:endnote w:type="continuationSeparator" w:id="0">
    <w:p w14:paraId="4D22389A" w14:textId="77777777" w:rsidR="00F14077" w:rsidRDefault="00F14077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402B3" w14:textId="77777777" w:rsidR="00F14077" w:rsidRDefault="00F14077" w:rsidP="004F0B9C">
      <w:r>
        <w:separator/>
      </w:r>
    </w:p>
  </w:footnote>
  <w:footnote w:type="continuationSeparator" w:id="0">
    <w:p w14:paraId="0BEF2453" w14:textId="77777777" w:rsidR="00F14077" w:rsidRDefault="00F14077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2961"/>
    <w:multiLevelType w:val="hybridMultilevel"/>
    <w:tmpl w:val="35CC19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601"/>
    <w:multiLevelType w:val="hybridMultilevel"/>
    <w:tmpl w:val="91E0B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56E1B"/>
    <w:multiLevelType w:val="multilevel"/>
    <w:tmpl w:val="BAEA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15D97"/>
    <w:multiLevelType w:val="hybridMultilevel"/>
    <w:tmpl w:val="93300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21FEC"/>
    <w:multiLevelType w:val="hybridMultilevel"/>
    <w:tmpl w:val="CABE6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A64CC"/>
    <w:multiLevelType w:val="hybridMultilevel"/>
    <w:tmpl w:val="710C76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F5282"/>
    <w:multiLevelType w:val="hybridMultilevel"/>
    <w:tmpl w:val="073E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515"/>
    <w:multiLevelType w:val="hybridMultilevel"/>
    <w:tmpl w:val="360CE3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93846"/>
    <w:multiLevelType w:val="hybridMultilevel"/>
    <w:tmpl w:val="271A5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47EDF"/>
    <w:multiLevelType w:val="hybridMultilevel"/>
    <w:tmpl w:val="28D86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72D36"/>
    <w:multiLevelType w:val="hybridMultilevel"/>
    <w:tmpl w:val="5C9C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057"/>
    <w:multiLevelType w:val="hybridMultilevel"/>
    <w:tmpl w:val="8E50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3EE"/>
    <w:multiLevelType w:val="hybridMultilevel"/>
    <w:tmpl w:val="03C4E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C088E"/>
    <w:multiLevelType w:val="hybridMultilevel"/>
    <w:tmpl w:val="9842A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3C98"/>
    <w:multiLevelType w:val="hybridMultilevel"/>
    <w:tmpl w:val="5DBEA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7586C"/>
    <w:multiLevelType w:val="hybridMultilevel"/>
    <w:tmpl w:val="DA64B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453459"/>
    <w:multiLevelType w:val="hybridMultilevel"/>
    <w:tmpl w:val="0AD2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62455"/>
    <w:multiLevelType w:val="hybridMultilevel"/>
    <w:tmpl w:val="FCDAC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21E7E"/>
    <w:multiLevelType w:val="hybridMultilevel"/>
    <w:tmpl w:val="D0145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233AB"/>
    <w:multiLevelType w:val="hybridMultilevel"/>
    <w:tmpl w:val="C4069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419E1"/>
    <w:multiLevelType w:val="hybridMultilevel"/>
    <w:tmpl w:val="CE228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22C60"/>
    <w:multiLevelType w:val="hybridMultilevel"/>
    <w:tmpl w:val="D4207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E5303"/>
    <w:multiLevelType w:val="hybridMultilevel"/>
    <w:tmpl w:val="D00CFB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0433A4"/>
    <w:multiLevelType w:val="hybridMultilevel"/>
    <w:tmpl w:val="F43E7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D6CE7"/>
    <w:multiLevelType w:val="hybridMultilevel"/>
    <w:tmpl w:val="4CB63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10C39"/>
    <w:multiLevelType w:val="hybridMultilevel"/>
    <w:tmpl w:val="21F8A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4327A"/>
    <w:multiLevelType w:val="hybridMultilevel"/>
    <w:tmpl w:val="636ED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AF5737"/>
    <w:multiLevelType w:val="hybridMultilevel"/>
    <w:tmpl w:val="6EBEF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D21F8E"/>
    <w:multiLevelType w:val="hybridMultilevel"/>
    <w:tmpl w:val="E6F28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471338543">
    <w:abstractNumId w:val="29"/>
  </w:num>
  <w:num w:numId="2" w16cid:durableId="1670937795">
    <w:abstractNumId w:val="20"/>
  </w:num>
  <w:num w:numId="3" w16cid:durableId="657654523">
    <w:abstractNumId w:val="21"/>
  </w:num>
  <w:num w:numId="4" w16cid:durableId="1013646597">
    <w:abstractNumId w:val="17"/>
  </w:num>
  <w:num w:numId="5" w16cid:durableId="1611162288">
    <w:abstractNumId w:val="25"/>
  </w:num>
  <w:num w:numId="6" w16cid:durableId="1338850692">
    <w:abstractNumId w:val="5"/>
  </w:num>
  <w:num w:numId="7" w16cid:durableId="1775978539">
    <w:abstractNumId w:val="4"/>
  </w:num>
  <w:num w:numId="8" w16cid:durableId="571307775">
    <w:abstractNumId w:val="13"/>
  </w:num>
  <w:num w:numId="9" w16cid:durableId="1758482523">
    <w:abstractNumId w:val="24"/>
  </w:num>
  <w:num w:numId="10" w16cid:durableId="1760756527">
    <w:abstractNumId w:val="26"/>
  </w:num>
  <w:num w:numId="11" w16cid:durableId="1704593812">
    <w:abstractNumId w:val="23"/>
  </w:num>
  <w:num w:numId="12" w16cid:durableId="591426799">
    <w:abstractNumId w:val="28"/>
  </w:num>
  <w:num w:numId="13" w16cid:durableId="1265773228">
    <w:abstractNumId w:val="3"/>
  </w:num>
  <w:num w:numId="14" w16cid:durableId="1413963763">
    <w:abstractNumId w:val="27"/>
  </w:num>
  <w:num w:numId="15" w16cid:durableId="1699045295">
    <w:abstractNumId w:val="18"/>
  </w:num>
  <w:num w:numId="16" w16cid:durableId="2142576899">
    <w:abstractNumId w:val="15"/>
  </w:num>
  <w:num w:numId="17" w16cid:durableId="364642505">
    <w:abstractNumId w:val="7"/>
  </w:num>
  <w:num w:numId="18" w16cid:durableId="1208496322">
    <w:abstractNumId w:val="9"/>
  </w:num>
  <w:num w:numId="19" w16cid:durableId="984508685">
    <w:abstractNumId w:val="14"/>
  </w:num>
  <w:num w:numId="20" w16cid:durableId="955478343">
    <w:abstractNumId w:val="10"/>
  </w:num>
  <w:num w:numId="21" w16cid:durableId="435906006">
    <w:abstractNumId w:val="1"/>
  </w:num>
  <w:num w:numId="22" w16cid:durableId="1352487548">
    <w:abstractNumId w:val="8"/>
  </w:num>
  <w:num w:numId="23" w16cid:durableId="1257056855">
    <w:abstractNumId w:val="6"/>
  </w:num>
  <w:num w:numId="24" w16cid:durableId="1650674305">
    <w:abstractNumId w:val="11"/>
  </w:num>
  <w:num w:numId="25" w16cid:durableId="1956908357">
    <w:abstractNumId w:val="0"/>
  </w:num>
  <w:num w:numId="26" w16cid:durableId="2102141553">
    <w:abstractNumId w:val="2"/>
  </w:num>
  <w:num w:numId="27" w16cid:durableId="143087410">
    <w:abstractNumId w:val="22"/>
  </w:num>
  <w:num w:numId="28" w16cid:durableId="1165050302">
    <w:abstractNumId w:val="16"/>
  </w:num>
  <w:num w:numId="29" w16cid:durableId="1640066766">
    <w:abstractNumId w:val="12"/>
  </w:num>
  <w:num w:numId="30" w16cid:durableId="85742935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0E8D"/>
    <w:rsid w:val="0000340F"/>
    <w:rsid w:val="0002093A"/>
    <w:rsid w:val="0003016B"/>
    <w:rsid w:val="00033321"/>
    <w:rsid w:val="00041958"/>
    <w:rsid w:val="00065300"/>
    <w:rsid w:val="00070C55"/>
    <w:rsid w:val="000726F1"/>
    <w:rsid w:val="000734F5"/>
    <w:rsid w:val="000A02DD"/>
    <w:rsid w:val="000A08F6"/>
    <w:rsid w:val="000A4461"/>
    <w:rsid w:val="000B43EF"/>
    <w:rsid w:val="00103012"/>
    <w:rsid w:val="001034F1"/>
    <w:rsid w:val="00107FF1"/>
    <w:rsid w:val="00117045"/>
    <w:rsid w:val="00117E06"/>
    <w:rsid w:val="00121D4F"/>
    <w:rsid w:val="0013086E"/>
    <w:rsid w:val="0014608D"/>
    <w:rsid w:val="00161040"/>
    <w:rsid w:val="00163BD7"/>
    <w:rsid w:val="001762A2"/>
    <w:rsid w:val="00187C7E"/>
    <w:rsid w:val="001904C6"/>
    <w:rsid w:val="0019708F"/>
    <w:rsid w:val="001C5AC0"/>
    <w:rsid w:val="001F1790"/>
    <w:rsid w:val="00201198"/>
    <w:rsid w:val="00202486"/>
    <w:rsid w:val="00202F17"/>
    <w:rsid w:val="00206138"/>
    <w:rsid w:val="002338D6"/>
    <w:rsid w:val="0024412D"/>
    <w:rsid w:val="002461F2"/>
    <w:rsid w:val="00251178"/>
    <w:rsid w:val="0026552B"/>
    <w:rsid w:val="00285356"/>
    <w:rsid w:val="002930F0"/>
    <w:rsid w:val="002E0483"/>
    <w:rsid w:val="002E71E5"/>
    <w:rsid w:val="002F10EB"/>
    <w:rsid w:val="002F2554"/>
    <w:rsid w:val="00310812"/>
    <w:rsid w:val="00320B9F"/>
    <w:rsid w:val="00321540"/>
    <w:rsid w:val="00326A02"/>
    <w:rsid w:val="003442FC"/>
    <w:rsid w:val="0035187E"/>
    <w:rsid w:val="00383BF3"/>
    <w:rsid w:val="00383D82"/>
    <w:rsid w:val="00384F7B"/>
    <w:rsid w:val="00385070"/>
    <w:rsid w:val="003A765D"/>
    <w:rsid w:val="003B0F56"/>
    <w:rsid w:val="003B5F78"/>
    <w:rsid w:val="003C21C7"/>
    <w:rsid w:val="003C5B55"/>
    <w:rsid w:val="004302BD"/>
    <w:rsid w:val="0043739C"/>
    <w:rsid w:val="00444610"/>
    <w:rsid w:val="004505C5"/>
    <w:rsid w:val="00476749"/>
    <w:rsid w:val="004B1F3C"/>
    <w:rsid w:val="004C3E85"/>
    <w:rsid w:val="004C660D"/>
    <w:rsid w:val="004D18D7"/>
    <w:rsid w:val="004F0B9C"/>
    <w:rsid w:val="004F34BD"/>
    <w:rsid w:val="00506DA7"/>
    <w:rsid w:val="005467C9"/>
    <w:rsid w:val="00554702"/>
    <w:rsid w:val="005601DC"/>
    <w:rsid w:val="00566711"/>
    <w:rsid w:val="005768F6"/>
    <w:rsid w:val="005835F6"/>
    <w:rsid w:val="0059608B"/>
    <w:rsid w:val="005A170D"/>
    <w:rsid w:val="005A51CE"/>
    <w:rsid w:val="005C24C9"/>
    <w:rsid w:val="005C68B3"/>
    <w:rsid w:val="005C7EAA"/>
    <w:rsid w:val="00605755"/>
    <w:rsid w:val="00624903"/>
    <w:rsid w:val="0062541A"/>
    <w:rsid w:val="0065142A"/>
    <w:rsid w:val="0065340E"/>
    <w:rsid w:val="00653E8A"/>
    <w:rsid w:val="00656DD7"/>
    <w:rsid w:val="006657ED"/>
    <w:rsid w:val="006700C2"/>
    <w:rsid w:val="00681D92"/>
    <w:rsid w:val="006B60FA"/>
    <w:rsid w:val="006C75DD"/>
    <w:rsid w:val="006D008F"/>
    <w:rsid w:val="006D7B40"/>
    <w:rsid w:val="006E4A44"/>
    <w:rsid w:val="0070019D"/>
    <w:rsid w:val="00714875"/>
    <w:rsid w:val="00720EAF"/>
    <w:rsid w:val="0072450F"/>
    <w:rsid w:val="007308CF"/>
    <w:rsid w:val="00731EEF"/>
    <w:rsid w:val="00752210"/>
    <w:rsid w:val="007858F2"/>
    <w:rsid w:val="00786698"/>
    <w:rsid w:val="007A1653"/>
    <w:rsid w:val="007A4BF9"/>
    <w:rsid w:val="007B3D82"/>
    <w:rsid w:val="007C0BEE"/>
    <w:rsid w:val="007C2838"/>
    <w:rsid w:val="007C3FBE"/>
    <w:rsid w:val="007C7229"/>
    <w:rsid w:val="007F5E20"/>
    <w:rsid w:val="00803A13"/>
    <w:rsid w:val="00812F68"/>
    <w:rsid w:val="0082016E"/>
    <w:rsid w:val="008407E9"/>
    <w:rsid w:val="00887D9D"/>
    <w:rsid w:val="008A184B"/>
    <w:rsid w:val="008A4A2D"/>
    <w:rsid w:val="008A5EE2"/>
    <w:rsid w:val="008C2AFC"/>
    <w:rsid w:val="008F2D86"/>
    <w:rsid w:val="008F6694"/>
    <w:rsid w:val="00910CD5"/>
    <w:rsid w:val="00912AC0"/>
    <w:rsid w:val="00913EE3"/>
    <w:rsid w:val="0094152C"/>
    <w:rsid w:val="009420B8"/>
    <w:rsid w:val="00953A06"/>
    <w:rsid w:val="0095616E"/>
    <w:rsid w:val="00970D59"/>
    <w:rsid w:val="0097515C"/>
    <w:rsid w:val="0098455C"/>
    <w:rsid w:val="00991279"/>
    <w:rsid w:val="009A72C4"/>
    <w:rsid w:val="009B1F3A"/>
    <w:rsid w:val="009E2637"/>
    <w:rsid w:val="009F04C1"/>
    <w:rsid w:val="00A12399"/>
    <w:rsid w:val="00A304D0"/>
    <w:rsid w:val="00A3083B"/>
    <w:rsid w:val="00A32427"/>
    <w:rsid w:val="00A339E8"/>
    <w:rsid w:val="00A559B2"/>
    <w:rsid w:val="00A66830"/>
    <w:rsid w:val="00A76E67"/>
    <w:rsid w:val="00A800F0"/>
    <w:rsid w:val="00AB36B5"/>
    <w:rsid w:val="00AB7EEA"/>
    <w:rsid w:val="00AF0EA3"/>
    <w:rsid w:val="00B06E66"/>
    <w:rsid w:val="00B16CCF"/>
    <w:rsid w:val="00B17CDD"/>
    <w:rsid w:val="00B224A3"/>
    <w:rsid w:val="00B3440C"/>
    <w:rsid w:val="00B52F87"/>
    <w:rsid w:val="00B733A6"/>
    <w:rsid w:val="00B8231D"/>
    <w:rsid w:val="00B8611C"/>
    <w:rsid w:val="00BC4549"/>
    <w:rsid w:val="00BC77C7"/>
    <w:rsid w:val="00BC7E0A"/>
    <w:rsid w:val="00BD2B64"/>
    <w:rsid w:val="00BE41D6"/>
    <w:rsid w:val="00C01097"/>
    <w:rsid w:val="00C01439"/>
    <w:rsid w:val="00C03088"/>
    <w:rsid w:val="00C16C66"/>
    <w:rsid w:val="00C20142"/>
    <w:rsid w:val="00C2703A"/>
    <w:rsid w:val="00C325F8"/>
    <w:rsid w:val="00C4204E"/>
    <w:rsid w:val="00C4648E"/>
    <w:rsid w:val="00C64930"/>
    <w:rsid w:val="00C77700"/>
    <w:rsid w:val="00C80144"/>
    <w:rsid w:val="00C8091A"/>
    <w:rsid w:val="00C815C4"/>
    <w:rsid w:val="00C82FAF"/>
    <w:rsid w:val="00C914B5"/>
    <w:rsid w:val="00CA2723"/>
    <w:rsid w:val="00CA7021"/>
    <w:rsid w:val="00CC0DCF"/>
    <w:rsid w:val="00CC3746"/>
    <w:rsid w:val="00CD7437"/>
    <w:rsid w:val="00CE3C85"/>
    <w:rsid w:val="00CE50AD"/>
    <w:rsid w:val="00CF7553"/>
    <w:rsid w:val="00D03C6C"/>
    <w:rsid w:val="00D249D5"/>
    <w:rsid w:val="00D4393B"/>
    <w:rsid w:val="00D50FE4"/>
    <w:rsid w:val="00D52EC2"/>
    <w:rsid w:val="00D5381D"/>
    <w:rsid w:val="00D7425F"/>
    <w:rsid w:val="00D9084D"/>
    <w:rsid w:val="00D91CC5"/>
    <w:rsid w:val="00DB08AC"/>
    <w:rsid w:val="00DB12B3"/>
    <w:rsid w:val="00DC4AC6"/>
    <w:rsid w:val="00DC64AF"/>
    <w:rsid w:val="00E00DDC"/>
    <w:rsid w:val="00E141AB"/>
    <w:rsid w:val="00E463B8"/>
    <w:rsid w:val="00E605F0"/>
    <w:rsid w:val="00E739BF"/>
    <w:rsid w:val="00E77A24"/>
    <w:rsid w:val="00E8090D"/>
    <w:rsid w:val="00E811C8"/>
    <w:rsid w:val="00E87FCB"/>
    <w:rsid w:val="00E92BE0"/>
    <w:rsid w:val="00EA1066"/>
    <w:rsid w:val="00EA2C74"/>
    <w:rsid w:val="00EB0754"/>
    <w:rsid w:val="00EB61C3"/>
    <w:rsid w:val="00EB64AB"/>
    <w:rsid w:val="00EB6A8C"/>
    <w:rsid w:val="00ED6B4F"/>
    <w:rsid w:val="00EE7D22"/>
    <w:rsid w:val="00EE7D3F"/>
    <w:rsid w:val="00EF3337"/>
    <w:rsid w:val="00EF50A3"/>
    <w:rsid w:val="00F12C0F"/>
    <w:rsid w:val="00F14077"/>
    <w:rsid w:val="00F2061B"/>
    <w:rsid w:val="00F51863"/>
    <w:rsid w:val="00F555C7"/>
    <w:rsid w:val="00F61A4D"/>
    <w:rsid w:val="00F61B5D"/>
    <w:rsid w:val="00F743D4"/>
    <w:rsid w:val="00F826F0"/>
    <w:rsid w:val="00F93113"/>
    <w:rsid w:val="00FA1A6C"/>
    <w:rsid w:val="00FA30C8"/>
    <w:rsid w:val="00FA74BD"/>
    <w:rsid w:val="00FA7C49"/>
    <w:rsid w:val="00FB2EEB"/>
    <w:rsid w:val="00FB38E4"/>
    <w:rsid w:val="00FC518D"/>
    <w:rsid w:val="00FD44C8"/>
    <w:rsid w:val="00FE49A6"/>
    <w:rsid w:val="00FF2BE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30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8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6D7B40"/>
    <w:pPr>
      <w:framePr w:wrap="around" w:vAnchor="text" w:hAnchor="text" w:y="1"/>
      <w:numPr>
        <w:numId w:val="1"/>
      </w:numPr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6D7B40"/>
    <w:rPr>
      <w:rFonts w:eastAsia="Times New Roman" w:cstheme="minorBidi"/>
      <w:b/>
      <w:bCs/>
      <w:color w:val="000000" w:themeColor="text1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E2637"/>
    <w:pPr>
      <w:tabs>
        <w:tab w:val="left" w:pos="880"/>
        <w:tab w:val="right" w:leader="dot" w:pos="9016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table" w:styleId="TableContemporary">
    <w:name w:val="Table Contemporary"/>
    <w:basedOn w:val="TableNormal"/>
    <w:unhideWhenUsed/>
    <w:rsid w:val="00C03088"/>
    <w:rPr>
      <w:rFonts w:ascii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SubheadBinText">
    <w:name w:val="Subhead B in Text"/>
    <w:rsid w:val="00C03088"/>
    <w:rPr>
      <w:rFonts w:ascii="Syntax-Bold" w:hAnsi="Syntax-Bold" w:cs="Syntax-Bold"/>
      <w:b/>
      <w:bCs/>
      <w:color w:val="339966"/>
      <w:sz w:val="24"/>
      <w:szCs w:val="24"/>
    </w:rPr>
  </w:style>
  <w:style w:type="paragraph" w:customStyle="1" w:styleId="01-Textfulloutnonumbernospace">
    <w:name w:val="01 - Text fullout (no number) no space"/>
    <w:basedOn w:val="Normal"/>
    <w:rsid w:val="00C03088"/>
    <w:pPr>
      <w:keepLines/>
      <w:widowControl w:val="0"/>
      <w:tabs>
        <w:tab w:val="left" w:pos="567"/>
        <w:tab w:val="left" w:pos="964"/>
        <w:tab w:val="left" w:pos="1361"/>
        <w:tab w:val="left" w:pos="1757"/>
        <w:tab w:val="left" w:pos="2154"/>
        <w:tab w:val="left" w:pos="2551"/>
        <w:tab w:val="left" w:pos="2948"/>
        <w:tab w:val="left" w:pos="3345"/>
        <w:tab w:val="left" w:pos="3742"/>
        <w:tab w:val="left" w:pos="4139"/>
        <w:tab w:val="left" w:pos="4535"/>
        <w:tab w:val="left" w:pos="4932"/>
        <w:tab w:val="left" w:pos="5329"/>
        <w:tab w:val="left" w:pos="5726"/>
        <w:tab w:val="left" w:pos="6123"/>
        <w:tab w:val="left" w:pos="6520"/>
        <w:tab w:val="left" w:pos="6917"/>
        <w:tab w:val="left" w:pos="7313"/>
        <w:tab w:val="left" w:pos="7710"/>
        <w:tab w:val="left" w:pos="8107"/>
        <w:tab w:val="left" w:pos="8504"/>
      </w:tabs>
      <w:suppressAutoHyphens/>
      <w:autoSpaceDE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030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088"/>
    <w:pPr>
      <w:jc w:val="both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088"/>
    <w:rPr>
      <w:vertAlign w:val="superscript"/>
    </w:rPr>
  </w:style>
  <w:style w:type="table" w:customStyle="1" w:styleId="TableGrid1">
    <w:name w:val="Table Grid1"/>
    <w:basedOn w:val="TableNormal"/>
    <w:next w:val="TableGrid"/>
    <w:rsid w:val="00C0308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C03088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03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9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64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8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86E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86E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F2D8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2D86"/>
    <w:pPr>
      <w:spacing w:after="100" w:line="259" w:lineRule="auto"/>
      <w:ind w:left="66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F2D86"/>
    <w:pPr>
      <w:spacing w:after="100" w:line="259" w:lineRule="auto"/>
      <w:ind w:left="88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F2D86"/>
    <w:pPr>
      <w:spacing w:after="100" w:line="259" w:lineRule="auto"/>
      <w:ind w:left="110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F2D86"/>
    <w:pPr>
      <w:spacing w:after="100" w:line="259" w:lineRule="auto"/>
      <w:ind w:left="132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F2D86"/>
    <w:pPr>
      <w:spacing w:after="100" w:line="259" w:lineRule="auto"/>
      <w:ind w:left="154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F2D86"/>
    <w:pPr>
      <w:spacing w:after="100" w:line="259" w:lineRule="auto"/>
      <w:ind w:left="1760"/>
    </w:pPr>
    <w:rPr>
      <w:rFonts w:asciiTheme="minorHAnsi" w:eastAsiaTheme="minorEastAsia" w:hAnsiTheme="minorHAnsi"/>
      <w:kern w:val="2"/>
      <w:sz w:val="22"/>
      <w:lang w:eastAsia="en-GB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00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DC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Benjamin Allison</cp:lastModifiedBy>
  <cp:revision>2</cp:revision>
  <cp:lastPrinted>2023-12-20T16:25:00Z</cp:lastPrinted>
  <dcterms:created xsi:type="dcterms:W3CDTF">2024-03-28T14:34:00Z</dcterms:created>
  <dcterms:modified xsi:type="dcterms:W3CDTF">2024-03-28T14:34:00Z</dcterms:modified>
</cp:coreProperties>
</file>